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0D" w:rsidRPr="00503C6F" w:rsidRDefault="00037BB8" w:rsidP="00503C6F">
      <w:pPr>
        <w:rPr>
          <w:b/>
          <w:sz w:val="32"/>
        </w:rPr>
      </w:pPr>
      <w:r w:rsidRPr="00503C6F">
        <w:rPr>
          <w:b/>
          <w:sz w:val="32"/>
        </w:rPr>
        <w:t xml:space="preserve">CIL </w:t>
      </w:r>
      <w:r w:rsidR="00BA7B58">
        <w:rPr>
          <w:b/>
          <w:sz w:val="32"/>
        </w:rPr>
        <w:t xml:space="preserve">2023/24 </w:t>
      </w:r>
      <w:r w:rsidRPr="00503C6F">
        <w:rPr>
          <w:b/>
          <w:sz w:val="32"/>
        </w:rPr>
        <w:t>bidding guidance note – processing applications</w:t>
      </w:r>
    </w:p>
    <w:p w:rsidR="00037BB8" w:rsidRPr="00503C6F" w:rsidRDefault="00037BB8">
      <w:pPr>
        <w:rPr>
          <w:b/>
        </w:rPr>
      </w:pPr>
    </w:p>
    <w:p w:rsidR="00503C6F" w:rsidRDefault="00503C6F"/>
    <w:p w:rsidR="00037BB8" w:rsidRPr="00503C6F" w:rsidRDefault="00037BB8">
      <w:r w:rsidRPr="00503C6F">
        <w:t>As part of the CIL bidding process, this note sets out the process for how schemes will be assessed.</w:t>
      </w:r>
    </w:p>
    <w:p w:rsidR="00037BB8" w:rsidRPr="00503C6F" w:rsidRDefault="00037BB8"/>
    <w:p w:rsidR="00037BB8" w:rsidRPr="00503C6F" w:rsidRDefault="00037BB8">
      <w:r w:rsidRPr="00503C6F">
        <w:t xml:space="preserve">There is a total funding amount of £500,000 available </w:t>
      </w:r>
      <w:r w:rsidR="00C70F7D">
        <w:t>for this bidding round (</w:t>
      </w:r>
      <w:r w:rsidR="00F65B4A">
        <w:t>September to October 2022</w:t>
      </w:r>
      <w:r w:rsidR="00D153D8" w:rsidRPr="00503C6F">
        <w:t>).</w:t>
      </w:r>
    </w:p>
    <w:p w:rsidR="00037BB8" w:rsidRPr="00503C6F" w:rsidRDefault="00037BB8"/>
    <w:p w:rsidR="00037BB8" w:rsidRPr="00503C6F" w:rsidRDefault="00037BB8">
      <w:r w:rsidRPr="00503C6F">
        <w:t>The minimum award will be £10,000 to a project and the maximum award £100,000.</w:t>
      </w:r>
    </w:p>
    <w:p w:rsidR="00AF2B92" w:rsidRPr="00503C6F" w:rsidRDefault="00AF2B92"/>
    <w:p w:rsidR="00503C6F" w:rsidRPr="00503C6F" w:rsidRDefault="00503C6F">
      <w:pPr>
        <w:rPr>
          <w:b/>
        </w:rPr>
      </w:pPr>
    </w:p>
    <w:p w:rsidR="00AF2B92" w:rsidRPr="00503C6F" w:rsidRDefault="00AF2B92">
      <w:r w:rsidRPr="00503C6F">
        <w:rPr>
          <w:b/>
        </w:rPr>
        <w:t>Assessment</w:t>
      </w:r>
    </w:p>
    <w:p w:rsidR="00AF2B92" w:rsidRPr="00503C6F" w:rsidRDefault="00AF2B92"/>
    <w:p w:rsidR="00AF2B92" w:rsidRPr="00503C6F" w:rsidRDefault="00AF2B92">
      <w:r w:rsidRPr="00503C6F">
        <w:t xml:space="preserve">The CIL bidding form needs to be complete and the scheme </w:t>
      </w:r>
      <w:r w:rsidRPr="00503C6F">
        <w:rPr>
          <w:u w:val="single"/>
        </w:rPr>
        <w:t>must</w:t>
      </w:r>
      <w:r w:rsidRPr="00503C6F">
        <w:t xml:space="preserve"> be used to fund infrastructure investment. There are a range of mandatory requirements:</w:t>
      </w:r>
    </w:p>
    <w:p w:rsidR="00AF2B92" w:rsidRPr="00503C6F" w:rsidRDefault="00AF2B92" w:rsidP="00AF2B92">
      <w:pPr>
        <w:pStyle w:val="Default"/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23"/>
        <w:gridCol w:w="8711"/>
        <w:gridCol w:w="755"/>
      </w:tblGrid>
      <w:tr w:rsidR="00FD6140" w:rsidRPr="00503C6F" w:rsidTr="00FD6140">
        <w:trPr>
          <w:trHeight w:val="110"/>
        </w:trPr>
        <w:tc>
          <w:tcPr>
            <w:tcW w:w="9889" w:type="dxa"/>
            <w:gridSpan w:val="3"/>
          </w:tcPr>
          <w:p w:rsidR="00503C6F" w:rsidRPr="00503C6F" w:rsidRDefault="00503C6F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:rsidR="00FD6140" w:rsidRPr="00503C6F" w:rsidRDefault="00FD614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503C6F">
              <w:rPr>
                <w:rFonts w:asciiTheme="minorHAnsi" w:hAnsiTheme="minorHAnsi" w:cstheme="minorHAnsi"/>
                <w:b/>
                <w:bCs/>
              </w:rPr>
              <w:t xml:space="preserve">Mandatory Requirements (to be completed by the CIL Officer) </w:t>
            </w:r>
          </w:p>
          <w:p w:rsidR="00FD6140" w:rsidRPr="00503C6F" w:rsidRDefault="00FD614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D6140" w:rsidRPr="00503C6F" w:rsidTr="00FD6140">
        <w:trPr>
          <w:trHeight w:val="244"/>
        </w:trPr>
        <w:tc>
          <w:tcPr>
            <w:tcW w:w="9889" w:type="dxa"/>
            <w:gridSpan w:val="3"/>
          </w:tcPr>
          <w:p w:rsidR="00FD6140" w:rsidRPr="00503C6F" w:rsidRDefault="00FD6140">
            <w:pPr>
              <w:pStyle w:val="Default"/>
              <w:rPr>
                <w:rFonts w:asciiTheme="minorHAnsi" w:hAnsiTheme="minorHAnsi" w:cstheme="minorHAnsi"/>
              </w:rPr>
            </w:pPr>
            <w:r w:rsidRPr="00503C6F">
              <w:rPr>
                <w:rFonts w:asciiTheme="minorHAnsi" w:hAnsiTheme="minorHAnsi" w:cstheme="minorHAnsi"/>
              </w:rPr>
              <w:t xml:space="preserve">For a project to be assessed against the scoring criteria all of the mandatory requirements must be satisfied: </w:t>
            </w:r>
          </w:p>
          <w:p w:rsidR="00FD6140" w:rsidRPr="00503C6F" w:rsidRDefault="00FD614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D6140" w:rsidRPr="00503C6F" w:rsidTr="00FD6140">
        <w:trPr>
          <w:gridAfter w:val="1"/>
          <w:wAfter w:w="755" w:type="dxa"/>
          <w:trHeight w:val="405"/>
        </w:trPr>
        <w:tc>
          <w:tcPr>
            <w:tcW w:w="0" w:type="auto"/>
          </w:tcPr>
          <w:p w:rsidR="00FD6140" w:rsidRPr="00503C6F" w:rsidRDefault="00FD6140" w:rsidP="00FD6140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:rsidR="00FD6140" w:rsidRPr="00503C6F" w:rsidRDefault="00FD6140" w:rsidP="00FD6140">
            <w:pPr>
              <w:pStyle w:val="Default"/>
              <w:rPr>
                <w:rFonts w:asciiTheme="majorHAnsi" w:eastAsia="MS Gothic" w:hAnsiTheme="majorHAnsi" w:cstheme="majorHAnsi"/>
              </w:rPr>
            </w:pPr>
            <w:r w:rsidRPr="00503C6F">
              <w:rPr>
                <w:rFonts w:asciiTheme="majorHAnsi" w:eastAsia="MS Gothic" w:hAnsiTheme="majorHAnsi" w:cstheme="majorHAnsi"/>
              </w:rPr>
              <w:t>The application form must be completed satisfactorily.</w:t>
            </w:r>
          </w:p>
          <w:p w:rsidR="00FD6140" w:rsidRPr="00503C6F" w:rsidRDefault="00FD6140" w:rsidP="00FD6140">
            <w:pPr>
              <w:pStyle w:val="Default"/>
              <w:rPr>
                <w:rFonts w:asciiTheme="majorHAnsi" w:eastAsia="MS Gothic" w:hAnsiTheme="majorHAnsi" w:cstheme="majorHAnsi"/>
              </w:rPr>
            </w:pPr>
          </w:p>
        </w:tc>
      </w:tr>
      <w:tr w:rsidR="00FD6140" w:rsidRPr="00503C6F" w:rsidTr="00FD6140">
        <w:trPr>
          <w:gridAfter w:val="1"/>
          <w:wAfter w:w="755" w:type="dxa"/>
          <w:trHeight w:val="130"/>
        </w:trPr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Theme="majorHAnsi" w:eastAsia="MS Gothic" w:hAnsiTheme="majorHAnsi" w:cstheme="majorHAnsi"/>
              </w:rPr>
            </w:pPr>
            <w:r w:rsidRPr="00503C6F">
              <w:rPr>
                <w:rFonts w:asciiTheme="majorHAnsi" w:eastAsia="MS Gothic" w:hAnsiTheme="majorHAnsi" w:cstheme="majorHAnsi"/>
              </w:rPr>
              <w:t xml:space="preserve">The organisation must be capable of carrying out the proposed project. </w:t>
            </w:r>
          </w:p>
          <w:p w:rsidR="00FD6140" w:rsidRPr="00503C6F" w:rsidRDefault="00FD6140">
            <w:pPr>
              <w:pStyle w:val="Default"/>
              <w:rPr>
                <w:rFonts w:asciiTheme="majorHAnsi" w:eastAsia="MS Gothic" w:hAnsiTheme="majorHAnsi" w:cstheme="majorHAnsi"/>
              </w:rPr>
            </w:pPr>
          </w:p>
        </w:tc>
      </w:tr>
      <w:tr w:rsidR="00FD6140" w:rsidRPr="00503C6F" w:rsidTr="00FD6140">
        <w:trPr>
          <w:gridAfter w:val="1"/>
          <w:wAfter w:w="755" w:type="dxa"/>
          <w:trHeight w:val="130"/>
        </w:trPr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Theme="majorHAnsi" w:eastAsia="MS Gothic" w:hAnsiTheme="majorHAnsi" w:cstheme="majorHAnsi"/>
              </w:rPr>
            </w:pPr>
            <w:r w:rsidRPr="00503C6F">
              <w:rPr>
                <w:rFonts w:asciiTheme="majorHAnsi" w:eastAsia="MS Gothic" w:hAnsiTheme="majorHAnsi" w:cstheme="majorHAnsi"/>
              </w:rPr>
              <w:t>The project must meet the terms of the CIL Regulations, as amended.</w:t>
            </w:r>
          </w:p>
          <w:p w:rsidR="00FD6140" w:rsidRPr="00503C6F" w:rsidRDefault="00FD6140">
            <w:pPr>
              <w:pStyle w:val="Default"/>
              <w:rPr>
                <w:rFonts w:asciiTheme="majorHAnsi" w:eastAsia="MS Gothic" w:hAnsiTheme="majorHAnsi" w:cstheme="majorHAnsi"/>
              </w:rPr>
            </w:pPr>
          </w:p>
        </w:tc>
      </w:tr>
      <w:tr w:rsidR="00FD6140" w:rsidRPr="00503C6F" w:rsidTr="00FD6140">
        <w:trPr>
          <w:gridAfter w:val="1"/>
          <w:wAfter w:w="755" w:type="dxa"/>
          <w:trHeight w:val="315"/>
        </w:trPr>
        <w:tc>
          <w:tcPr>
            <w:tcW w:w="0" w:type="auto"/>
          </w:tcPr>
          <w:p w:rsidR="00FD6140" w:rsidRPr="00503C6F" w:rsidRDefault="00FD6140" w:rsidP="00FD6140"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 xml:space="preserve">The project must be clearly defined as ‘infrastructure’. </w:t>
            </w:r>
          </w:p>
          <w:p w:rsidR="00FD6140" w:rsidRPr="00503C6F" w:rsidRDefault="00FD6140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FD6140" w:rsidRPr="00503C6F" w:rsidTr="00FD6140">
        <w:trPr>
          <w:gridAfter w:val="1"/>
          <w:wAfter w:w="755" w:type="dxa"/>
          <w:trHeight w:val="379"/>
        </w:trPr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lastRenderedPageBreak/>
              <w:t>☐</w:t>
            </w:r>
          </w:p>
        </w:tc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 xml:space="preserve">The CIL Regulations require that CIL funding must be for the provision, improvement, replacement, operation or maintenance of infrastructure to support the development of its area. </w:t>
            </w:r>
          </w:p>
          <w:p w:rsidR="00FD6140" w:rsidRPr="00503C6F" w:rsidRDefault="00FD6140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FD6140" w:rsidRPr="00503C6F" w:rsidTr="00FD6140">
        <w:trPr>
          <w:gridAfter w:val="1"/>
          <w:wAfter w:w="755" w:type="dxa"/>
          <w:trHeight w:val="379"/>
        </w:trPr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  <w:p w:rsidR="00FD6140" w:rsidRPr="00503C6F" w:rsidRDefault="00FD6140" w:rsidP="00FD6140"/>
        </w:tc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 xml:space="preserve">The levy is intended to focus on the provision of new infrastructure and should not be used to remedy pre-existing deficiencies in infrastructure provision unless those deficiencies will be made more severe by new development. </w:t>
            </w:r>
          </w:p>
          <w:p w:rsidR="00FD6140" w:rsidRPr="00503C6F" w:rsidRDefault="00FD6140" w:rsidP="00FD6140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FD6140" w:rsidRPr="00503C6F" w:rsidTr="00FD6140">
        <w:trPr>
          <w:gridAfter w:val="1"/>
          <w:wAfter w:w="755" w:type="dxa"/>
          <w:trHeight w:val="379"/>
        </w:trPr>
        <w:tc>
          <w:tcPr>
            <w:tcW w:w="0" w:type="auto"/>
          </w:tcPr>
          <w:p w:rsidR="00FD6140" w:rsidRPr="00503C6F" w:rsidRDefault="00FD6140">
            <w:pPr>
              <w:pStyle w:val="Default"/>
              <w:rPr>
                <w:rFonts w:ascii="Segoe UI Symbol" w:eastAsia="MS Gothic" w:hAnsi="Segoe UI Symbol" w:cs="Segoe UI Symbol"/>
              </w:rPr>
            </w:pPr>
            <w:r w:rsidRPr="00503C6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0" w:type="auto"/>
          </w:tcPr>
          <w:p w:rsidR="00FD6140" w:rsidRPr="00503C6F" w:rsidRDefault="00FD6140" w:rsidP="00FD6140">
            <w:pPr>
              <w:pStyle w:val="Default"/>
              <w:rPr>
                <w:rFonts w:asciiTheme="majorHAnsi" w:hAnsiTheme="majorHAnsi" w:cstheme="majorHAnsi"/>
              </w:rPr>
            </w:pPr>
            <w:r w:rsidRPr="00503C6F">
              <w:rPr>
                <w:rFonts w:asciiTheme="majorHAnsi" w:hAnsiTheme="majorHAnsi" w:cstheme="majorHAnsi"/>
              </w:rPr>
              <w:t>The project must be able to be delivered in the 202</w:t>
            </w:r>
            <w:r w:rsidR="00F65B4A">
              <w:rPr>
                <w:rFonts w:asciiTheme="majorHAnsi" w:hAnsiTheme="majorHAnsi" w:cstheme="majorHAnsi"/>
              </w:rPr>
              <w:t>3</w:t>
            </w:r>
            <w:r w:rsidRPr="00503C6F">
              <w:rPr>
                <w:rFonts w:asciiTheme="majorHAnsi" w:hAnsiTheme="majorHAnsi" w:cstheme="majorHAnsi"/>
              </w:rPr>
              <w:t>-2</w:t>
            </w:r>
            <w:r w:rsidR="00F65B4A">
              <w:rPr>
                <w:rFonts w:asciiTheme="majorHAnsi" w:hAnsiTheme="majorHAnsi" w:cstheme="majorHAnsi"/>
              </w:rPr>
              <w:t>4</w:t>
            </w:r>
            <w:r w:rsidRPr="00503C6F">
              <w:rPr>
                <w:rFonts w:asciiTheme="majorHAnsi" w:hAnsiTheme="majorHAnsi" w:cstheme="majorHAnsi"/>
              </w:rPr>
              <w:t xml:space="preserve"> financial year.</w:t>
            </w:r>
          </w:p>
          <w:p w:rsidR="00FD6140" w:rsidRPr="00503C6F" w:rsidRDefault="00FD6140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</w:tbl>
    <w:p w:rsidR="00503C6F" w:rsidRDefault="00503C6F" w:rsidP="00503C6F">
      <w:pPr>
        <w:spacing w:after="240"/>
        <w:rPr>
          <w:b/>
        </w:rPr>
      </w:pPr>
    </w:p>
    <w:p w:rsidR="00503C6F" w:rsidRDefault="00503C6F" w:rsidP="00503C6F">
      <w:pPr>
        <w:spacing w:after="240"/>
        <w:rPr>
          <w:b/>
        </w:rPr>
      </w:pPr>
    </w:p>
    <w:p w:rsidR="00503C6F" w:rsidRDefault="00503C6F" w:rsidP="00503C6F">
      <w:pPr>
        <w:spacing w:after="240"/>
        <w:rPr>
          <w:b/>
        </w:rPr>
      </w:pPr>
    </w:p>
    <w:p w:rsidR="00503C6F" w:rsidRDefault="00503C6F" w:rsidP="00503C6F">
      <w:pPr>
        <w:spacing w:after="240"/>
        <w:rPr>
          <w:b/>
        </w:rPr>
      </w:pPr>
    </w:p>
    <w:p w:rsidR="00503C6F" w:rsidRDefault="00503C6F" w:rsidP="00503C6F">
      <w:pPr>
        <w:spacing w:after="240"/>
        <w:rPr>
          <w:b/>
        </w:rPr>
      </w:pPr>
    </w:p>
    <w:p w:rsidR="00503C6F" w:rsidRPr="00503C6F" w:rsidRDefault="00503C6F" w:rsidP="00503C6F">
      <w:pPr>
        <w:spacing w:after="240"/>
        <w:rPr>
          <w:b/>
        </w:rPr>
      </w:pPr>
      <w:r w:rsidRPr="00503C6F">
        <w:rPr>
          <w:b/>
        </w:rPr>
        <w:t>Assessment scoring</w:t>
      </w:r>
    </w:p>
    <w:p w:rsidR="00AF2B92" w:rsidRPr="00503C6F" w:rsidRDefault="00AF2B92">
      <w:r w:rsidRPr="00503C6F">
        <w:t>The Assessment of the respective bids will be scored out of 100 using the following:</w:t>
      </w:r>
    </w:p>
    <w:p w:rsidR="00AF2B92" w:rsidRPr="00503C6F" w:rsidRDefault="00AF2B9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2B92" w:rsidRPr="00503C6F" w:rsidTr="00AF2B92">
        <w:tc>
          <w:tcPr>
            <w:tcW w:w="4508" w:type="dxa"/>
          </w:tcPr>
          <w:p w:rsidR="00AF2B92" w:rsidRPr="00503C6F" w:rsidRDefault="00AF2B92">
            <w:pPr>
              <w:rPr>
                <w:b/>
              </w:rPr>
            </w:pPr>
            <w:r w:rsidRPr="00503C6F">
              <w:rPr>
                <w:b/>
              </w:rPr>
              <w:t>Item</w:t>
            </w:r>
          </w:p>
        </w:tc>
        <w:tc>
          <w:tcPr>
            <w:tcW w:w="4508" w:type="dxa"/>
          </w:tcPr>
          <w:p w:rsidR="00AF2B92" w:rsidRPr="00503C6F" w:rsidRDefault="00AF2B92" w:rsidP="00AF2B92">
            <w:pPr>
              <w:jc w:val="center"/>
              <w:rPr>
                <w:b/>
              </w:rPr>
            </w:pPr>
            <w:r w:rsidRPr="00503C6F">
              <w:rPr>
                <w:b/>
              </w:rPr>
              <w:t>Maximum score</w:t>
            </w:r>
          </w:p>
        </w:tc>
      </w:tr>
      <w:tr w:rsidR="00AF2B92" w:rsidRPr="00503C6F" w:rsidTr="00503C6F">
        <w:tc>
          <w:tcPr>
            <w:tcW w:w="4508" w:type="dxa"/>
            <w:vAlign w:val="center"/>
          </w:tcPr>
          <w:p w:rsidR="00AF2B92" w:rsidRPr="00503C6F" w:rsidRDefault="00AF2B92" w:rsidP="00503C6F">
            <w:r w:rsidRPr="00503C6F">
              <w:t>Supports schemes in the infrastructure delivery plan</w:t>
            </w:r>
            <w:r w:rsidR="00EF44B9">
              <w:t xml:space="preserve"> (IDP</w:t>
            </w:r>
            <w:r w:rsidR="00465E82" w:rsidRPr="00503C6F">
              <w:t>)</w:t>
            </w:r>
          </w:p>
        </w:tc>
        <w:tc>
          <w:tcPr>
            <w:tcW w:w="4508" w:type="dxa"/>
            <w:vAlign w:val="center"/>
          </w:tcPr>
          <w:p w:rsidR="00AF2B92" w:rsidRPr="00503C6F" w:rsidRDefault="00AF2B92" w:rsidP="00503C6F">
            <w:pPr>
              <w:jc w:val="center"/>
            </w:pPr>
            <w:r w:rsidRPr="00503C6F">
              <w:t>25</w:t>
            </w:r>
            <w:r w:rsidR="00465E82" w:rsidRPr="00503C6F">
              <w:rPr>
                <w:rStyle w:val="FootnoteReference"/>
              </w:rPr>
              <w:footnoteReference w:id="1"/>
            </w:r>
          </w:p>
        </w:tc>
      </w:tr>
      <w:tr w:rsidR="00AF2B92" w:rsidRPr="00503C6F" w:rsidTr="00503C6F">
        <w:trPr>
          <w:trHeight w:val="841"/>
        </w:trPr>
        <w:tc>
          <w:tcPr>
            <w:tcW w:w="4508" w:type="dxa"/>
            <w:vAlign w:val="center"/>
          </w:tcPr>
          <w:p w:rsidR="00AF2B92" w:rsidRPr="00503C6F" w:rsidRDefault="00AF2B92" w:rsidP="00503C6F">
            <w:pPr>
              <w:pStyle w:val="Heading4"/>
              <w:keepNext w:val="0"/>
              <w:spacing w:before="0" w:after="0"/>
              <w:rPr>
                <w:b w:val="0"/>
                <w:sz w:val="24"/>
                <w:szCs w:val="24"/>
              </w:rPr>
            </w:pPr>
            <w:r w:rsidRPr="00503C6F">
              <w:rPr>
                <w:b w:val="0"/>
                <w:sz w:val="24"/>
                <w:szCs w:val="24"/>
              </w:rPr>
              <w:lastRenderedPageBreak/>
              <w:t>Enhances the resilience of communities within West Berkshire</w:t>
            </w:r>
            <w:r w:rsidR="000430EC" w:rsidRPr="00503C6F">
              <w:rPr>
                <w:rStyle w:val="FootnoteReference"/>
                <w:b w:val="0"/>
                <w:sz w:val="24"/>
                <w:szCs w:val="24"/>
              </w:rPr>
              <w:footnoteReference w:id="2"/>
            </w:r>
          </w:p>
        </w:tc>
        <w:tc>
          <w:tcPr>
            <w:tcW w:w="4508" w:type="dxa"/>
            <w:vAlign w:val="center"/>
          </w:tcPr>
          <w:p w:rsidR="00AF2B92" w:rsidRPr="00503C6F" w:rsidRDefault="00AF2B92" w:rsidP="00503C6F">
            <w:pPr>
              <w:jc w:val="center"/>
            </w:pPr>
            <w:r w:rsidRPr="00503C6F">
              <w:t>20</w:t>
            </w:r>
          </w:p>
        </w:tc>
      </w:tr>
      <w:tr w:rsidR="00AF2B92" w:rsidRPr="00503C6F" w:rsidTr="00503C6F">
        <w:trPr>
          <w:trHeight w:val="555"/>
        </w:trPr>
        <w:tc>
          <w:tcPr>
            <w:tcW w:w="4508" w:type="dxa"/>
            <w:vAlign w:val="center"/>
          </w:tcPr>
          <w:p w:rsidR="00AF2B92" w:rsidRPr="00503C6F" w:rsidRDefault="00AF2B92" w:rsidP="00503C6F">
            <w:pPr>
              <w:pStyle w:val="Heading4"/>
              <w:keepNext w:val="0"/>
              <w:spacing w:before="0"/>
              <w:rPr>
                <w:b w:val="0"/>
                <w:sz w:val="24"/>
                <w:szCs w:val="24"/>
              </w:rPr>
            </w:pPr>
            <w:r w:rsidRPr="00503C6F">
              <w:rPr>
                <w:b w:val="0"/>
                <w:sz w:val="24"/>
                <w:szCs w:val="24"/>
              </w:rPr>
              <w:t>Benefits to the local community</w:t>
            </w:r>
            <w:r w:rsidR="00465E82" w:rsidRPr="00503C6F">
              <w:rPr>
                <w:rStyle w:val="FootnoteReference"/>
                <w:b w:val="0"/>
                <w:sz w:val="24"/>
                <w:szCs w:val="24"/>
              </w:rPr>
              <w:footnoteReference w:id="3"/>
            </w:r>
          </w:p>
        </w:tc>
        <w:tc>
          <w:tcPr>
            <w:tcW w:w="4508" w:type="dxa"/>
            <w:vAlign w:val="center"/>
          </w:tcPr>
          <w:p w:rsidR="00AF2B92" w:rsidRPr="00503C6F" w:rsidRDefault="00AF2B92" w:rsidP="00503C6F">
            <w:pPr>
              <w:jc w:val="center"/>
            </w:pPr>
            <w:r w:rsidRPr="00503C6F">
              <w:t>20</w:t>
            </w:r>
          </w:p>
        </w:tc>
      </w:tr>
      <w:tr w:rsidR="00AF2B92" w:rsidRPr="00503C6F" w:rsidTr="00503C6F">
        <w:trPr>
          <w:trHeight w:val="421"/>
        </w:trPr>
        <w:tc>
          <w:tcPr>
            <w:tcW w:w="4508" w:type="dxa"/>
            <w:vAlign w:val="center"/>
          </w:tcPr>
          <w:p w:rsidR="00AF2B92" w:rsidRPr="00503C6F" w:rsidRDefault="00AF2B92" w:rsidP="00503C6F">
            <w:pPr>
              <w:pStyle w:val="Heading4"/>
              <w:keepNext w:val="0"/>
              <w:spacing w:before="0" w:after="0"/>
              <w:rPr>
                <w:b w:val="0"/>
                <w:sz w:val="24"/>
                <w:szCs w:val="24"/>
              </w:rPr>
            </w:pPr>
            <w:r w:rsidRPr="00503C6F">
              <w:rPr>
                <w:b w:val="0"/>
                <w:sz w:val="24"/>
                <w:szCs w:val="24"/>
              </w:rPr>
              <w:t>Utilises match funding</w:t>
            </w:r>
            <w:r w:rsidR="00465E82" w:rsidRPr="00503C6F">
              <w:rPr>
                <w:rStyle w:val="FootnoteReference"/>
                <w:b w:val="0"/>
                <w:sz w:val="24"/>
                <w:szCs w:val="24"/>
              </w:rPr>
              <w:footnoteReference w:id="4"/>
            </w:r>
          </w:p>
        </w:tc>
        <w:tc>
          <w:tcPr>
            <w:tcW w:w="4508" w:type="dxa"/>
            <w:vAlign w:val="center"/>
          </w:tcPr>
          <w:p w:rsidR="00AF2B92" w:rsidRPr="00503C6F" w:rsidRDefault="00AF2B92" w:rsidP="00503C6F">
            <w:pPr>
              <w:jc w:val="center"/>
            </w:pPr>
            <w:r w:rsidRPr="00503C6F">
              <w:t>15</w:t>
            </w:r>
          </w:p>
        </w:tc>
      </w:tr>
      <w:tr w:rsidR="00AF2B92" w:rsidRPr="00503C6F" w:rsidTr="00503C6F">
        <w:trPr>
          <w:trHeight w:val="398"/>
        </w:trPr>
        <w:tc>
          <w:tcPr>
            <w:tcW w:w="4508" w:type="dxa"/>
            <w:vAlign w:val="center"/>
          </w:tcPr>
          <w:p w:rsidR="00AF2B92" w:rsidRPr="00503C6F" w:rsidRDefault="00AF2B92" w:rsidP="00503C6F">
            <w:r w:rsidRPr="00503C6F">
              <w:t>Delivery supports the Council Strategy</w:t>
            </w:r>
            <w:r w:rsidR="00465E82" w:rsidRPr="00503C6F">
              <w:rPr>
                <w:rStyle w:val="FootnoteReference"/>
              </w:rPr>
              <w:footnoteReference w:id="5"/>
            </w:r>
            <w:r w:rsidRPr="00503C6F">
              <w:t xml:space="preserve"> </w:t>
            </w:r>
          </w:p>
        </w:tc>
        <w:tc>
          <w:tcPr>
            <w:tcW w:w="4508" w:type="dxa"/>
            <w:vAlign w:val="center"/>
          </w:tcPr>
          <w:p w:rsidR="00AF2B92" w:rsidRPr="00503C6F" w:rsidRDefault="00AF2B92" w:rsidP="00503C6F">
            <w:pPr>
              <w:jc w:val="center"/>
            </w:pPr>
            <w:r w:rsidRPr="00503C6F">
              <w:t>10</w:t>
            </w:r>
          </w:p>
        </w:tc>
      </w:tr>
      <w:tr w:rsidR="00AF2B92" w:rsidRPr="00503C6F" w:rsidTr="00503C6F">
        <w:trPr>
          <w:trHeight w:val="716"/>
        </w:trPr>
        <w:tc>
          <w:tcPr>
            <w:tcW w:w="4508" w:type="dxa"/>
            <w:vAlign w:val="center"/>
          </w:tcPr>
          <w:p w:rsidR="00AF2B92" w:rsidRPr="00503C6F" w:rsidRDefault="00AF2B92" w:rsidP="00503C6F">
            <w:r w:rsidRPr="00503C6F">
              <w:t>Delivery supports the Council’s recovery strategy</w:t>
            </w:r>
          </w:p>
        </w:tc>
        <w:tc>
          <w:tcPr>
            <w:tcW w:w="4508" w:type="dxa"/>
            <w:vAlign w:val="center"/>
          </w:tcPr>
          <w:p w:rsidR="00AF2B92" w:rsidRPr="00503C6F" w:rsidRDefault="00AF2B92" w:rsidP="00503C6F">
            <w:pPr>
              <w:jc w:val="center"/>
            </w:pPr>
            <w:r w:rsidRPr="00503C6F">
              <w:t>10</w:t>
            </w:r>
          </w:p>
        </w:tc>
      </w:tr>
      <w:tr w:rsidR="00AF2B92" w:rsidRPr="00503C6F" w:rsidTr="00AF2B92">
        <w:tc>
          <w:tcPr>
            <w:tcW w:w="4508" w:type="dxa"/>
          </w:tcPr>
          <w:p w:rsidR="00AF2B92" w:rsidRPr="00503C6F" w:rsidRDefault="00AF2B92">
            <w:pPr>
              <w:rPr>
                <w:b/>
              </w:rPr>
            </w:pPr>
            <w:r w:rsidRPr="00503C6F">
              <w:rPr>
                <w:b/>
              </w:rPr>
              <w:t>Total</w:t>
            </w:r>
          </w:p>
        </w:tc>
        <w:tc>
          <w:tcPr>
            <w:tcW w:w="4508" w:type="dxa"/>
          </w:tcPr>
          <w:p w:rsidR="00AF2B92" w:rsidRPr="00503C6F" w:rsidRDefault="00AF2B92" w:rsidP="00AF2B92">
            <w:pPr>
              <w:jc w:val="center"/>
              <w:rPr>
                <w:b/>
              </w:rPr>
            </w:pPr>
            <w:r w:rsidRPr="00503C6F">
              <w:rPr>
                <w:b/>
              </w:rPr>
              <w:t>100</w:t>
            </w:r>
          </w:p>
        </w:tc>
      </w:tr>
    </w:tbl>
    <w:p w:rsidR="00465E82" w:rsidRPr="00503C6F" w:rsidRDefault="00465E82">
      <w:pPr>
        <w:rPr>
          <w:b/>
        </w:rPr>
      </w:pPr>
    </w:p>
    <w:p w:rsidR="00503C6F" w:rsidRDefault="00503C6F">
      <w:pPr>
        <w:rPr>
          <w:b/>
        </w:rPr>
      </w:pPr>
    </w:p>
    <w:p w:rsidR="00AF2B92" w:rsidRPr="00503C6F" w:rsidRDefault="00AF2B92">
      <w:pPr>
        <w:rPr>
          <w:b/>
        </w:rPr>
      </w:pPr>
      <w:r w:rsidRPr="00503C6F">
        <w:rPr>
          <w:b/>
        </w:rPr>
        <w:t>Assessment process</w:t>
      </w:r>
    </w:p>
    <w:p w:rsidR="00AF2B92" w:rsidRPr="00503C6F" w:rsidRDefault="00AF2B92">
      <w:pPr>
        <w:rPr>
          <w:b/>
        </w:rPr>
      </w:pPr>
    </w:p>
    <w:p w:rsidR="00AF2B92" w:rsidRPr="00503C6F" w:rsidRDefault="00AF2B92">
      <w:r w:rsidRPr="00503C6F">
        <w:t>There will be a panel that considers the Bids put forwards. The panel consists of:</w:t>
      </w:r>
    </w:p>
    <w:p w:rsidR="00AF2B92" w:rsidRPr="00503C6F" w:rsidRDefault="00AF2B92"/>
    <w:p w:rsidR="00AF2B92" w:rsidRPr="00503C6F" w:rsidRDefault="00AF2B92">
      <w:r w:rsidRPr="00503C6F">
        <w:t>The Leader of the Council, the Portfol</w:t>
      </w:r>
      <w:r w:rsidR="005469FD">
        <w:t xml:space="preserve">io Holder for Finance </w:t>
      </w:r>
      <w:r w:rsidRPr="00503C6F">
        <w:t>&amp; Economic Development &amp; the Portfolio Holder for Planning</w:t>
      </w:r>
      <w:r w:rsidR="005469FD">
        <w:t>, Transport &amp; Countryside</w:t>
      </w:r>
      <w:r w:rsidRPr="00503C6F">
        <w:t xml:space="preserve"> plus three officers from the Capital Strategy Board, and one officer from the CIL team / planning team.</w:t>
      </w:r>
    </w:p>
    <w:p w:rsidR="00AF2B92" w:rsidRPr="00503C6F" w:rsidRDefault="00AF2B92">
      <w:bookmarkStart w:id="0" w:name="_GoBack"/>
      <w:bookmarkEnd w:id="0"/>
    </w:p>
    <w:p w:rsidR="00AF2B92" w:rsidRPr="00503C6F" w:rsidRDefault="00AF2B92">
      <w:r w:rsidRPr="00503C6F">
        <w:t>This panel will recommend the schemes to the Executive to be included within the next year’s capital budget.</w:t>
      </w:r>
    </w:p>
    <w:sectPr w:rsidR="00AF2B92" w:rsidRPr="00503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E82" w:rsidRDefault="00465E82" w:rsidP="00465E82">
      <w:r>
        <w:separator/>
      </w:r>
    </w:p>
  </w:endnote>
  <w:endnote w:type="continuationSeparator" w:id="0">
    <w:p w:rsidR="00465E82" w:rsidRDefault="00465E82" w:rsidP="0046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E82" w:rsidRDefault="00465E82" w:rsidP="00465E82">
      <w:r>
        <w:separator/>
      </w:r>
    </w:p>
  </w:footnote>
  <w:footnote w:type="continuationSeparator" w:id="0">
    <w:p w:rsidR="00465E82" w:rsidRDefault="00465E82" w:rsidP="00465E82">
      <w:r>
        <w:continuationSeparator/>
      </w:r>
    </w:p>
  </w:footnote>
  <w:footnote w:id="1">
    <w:p w:rsidR="00465E82" w:rsidRDefault="00465E82">
      <w:pPr>
        <w:pStyle w:val="FootnoteText"/>
      </w:pPr>
      <w:r>
        <w:rPr>
          <w:rStyle w:val="FootnoteReference"/>
        </w:rPr>
        <w:footnoteRef/>
      </w:r>
      <w:r>
        <w:t xml:space="preserve"> 25 = Cr</w:t>
      </w:r>
      <w:r w:rsidR="00EF44B9">
        <w:t>itical project to deliver the I</w:t>
      </w:r>
      <w:r>
        <w:t>D</w:t>
      </w:r>
      <w:r w:rsidR="00EF44B9">
        <w:t>P</w:t>
      </w:r>
      <w:r>
        <w:t xml:space="preserve"> (</w:t>
      </w:r>
      <w:hyperlink r:id="rId1" w:history="1">
        <w:r w:rsidRPr="008A66A3">
          <w:rPr>
            <w:rStyle w:val="Hyperlink"/>
          </w:rPr>
          <w:t>https://info.westberks.gov.uk/CHttpHandler.ashx?id=41472&amp;p=0</w:t>
        </w:r>
      </w:hyperlink>
      <w:r>
        <w:t>) through to 0 for no relevance to the IDP.</w:t>
      </w:r>
    </w:p>
  </w:footnote>
  <w:footnote w:id="2">
    <w:p w:rsidR="000430EC" w:rsidRDefault="000430EC">
      <w:pPr>
        <w:pStyle w:val="FootnoteText"/>
      </w:pPr>
      <w:r>
        <w:rPr>
          <w:rStyle w:val="FootnoteReference"/>
        </w:rPr>
        <w:footnoteRef/>
      </w:r>
      <w:r w:rsidR="00245DF9">
        <w:t xml:space="preserve"> Sliding scale from</w:t>
      </w:r>
      <w:r>
        <w:t xml:space="preserve"> 20 points demonstrating how this infrastructure ensures that the community that benefits is more resilient</w:t>
      </w:r>
    </w:p>
  </w:footnote>
  <w:footnote w:id="3">
    <w:p w:rsidR="00465E82" w:rsidRDefault="00465E82">
      <w:pPr>
        <w:pStyle w:val="FootnoteText"/>
      </w:pPr>
      <w:r>
        <w:rPr>
          <w:rStyle w:val="FootnoteReference"/>
        </w:rPr>
        <w:footnoteRef/>
      </w:r>
      <w:r>
        <w:t xml:space="preserve"> Sliding scale from 20 points demonstrating community support</w:t>
      </w:r>
      <w:r w:rsidR="000430EC">
        <w:t>, and as a wide a part of the community, through the</w:t>
      </w:r>
      <w:r>
        <w:t xml:space="preserve"> </w:t>
      </w:r>
      <w:r w:rsidR="000430EC">
        <w:t>enhanced community infrastructure to 0</w:t>
      </w:r>
    </w:p>
  </w:footnote>
  <w:footnote w:id="4">
    <w:p w:rsidR="00465E82" w:rsidRDefault="00465E82">
      <w:pPr>
        <w:pStyle w:val="FootnoteText"/>
      </w:pPr>
      <w:r>
        <w:rPr>
          <w:rStyle w:val="FootnoteReference"/>
        </w:rPr>
        <w:footnoteRef/>
      </w:r>
      <w:r>
        <w:t xml:space="preserve"> Siding scales from 15 points for 50% matched funding to 0 for no matched funding</w:t>
      </w:r>
    </w:p>
  </w:footnote>
  <w:footnote w:id="5">
    <w:p w:rsidR="00465E82" w:rsidRDefault="00465E82">
      <w:pPr>
        <w:pStyle w:val="FootnoteText"/>
      </w:pPr>
      <w:r>
        <w:rPr>
          <w:rStyle w:val="FootnoteReference"/>
        </w:rPr>
        <w:footnoteRef/>
      </w:r>
      <w:r>
        <w:t xml:space="preserve"> 10 points for strong link to the Council / Recovery Strategy through to 0 for no link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01CA"/>
    <w:multiLevelType w:val="multilevel"/>
    <w:tmpl w:val="7BD86F4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5A2A97"/>
    <w:multiLevelType w:val="hybridMultilevel"/>
    <w:tmpl w:val="55F29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E2"/>
    <w:rsid w:val="00037BB8"/>
    <w:rsid w:val="000430EC"/>
    <w:rsid w:val="001452E2"/>
    <w:rsid w:val="00244458"/>
    <w:rsid w:val="00245DF9"/>
    <w:rsid w:val="002B5D8C"/>
    <w:rsid w:val="00465E82"/>
    <w:rsid w:val="00496883"/>
    <w:rsid w:val="00503C6F"/>
    <w:rsid w:val="005469FD"/>
    <w:rsid w:val="007D0DED"/>
    <w:rsid w:val="00AD6A56"/>
    <w:rsid w:val="00AF2B92"/>
    <w:rsid w:val="00BA7B58"/>
    <w:rsid w:val="00C70F7D"/>
    <w:rsid w:val="00C90C0D"/>
    <w:rsid w:val="00D153D8"/>
    <w:rsid w:val="00EA6F72"/>
    <w:rsid w:val="00EF44B9"/>
    <w:rsid w:val="00F60654"/>
    <w:rsid w:val="00F65B4A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2CDFA-2471-48E6-AB73-4B61C574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D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D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D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D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D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5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5D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D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D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D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D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D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D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5D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D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D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D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D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D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B5D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B5D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D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B5D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B5D8C"/>
    <w:rPr>
      <w:b/>
      <w:bCs/>
    </w:rPr>
  </w:style>
  <w:style w:type="character" w:styleId="Emphasis">
    <w:name w:val="Emphasis"/>
    <w:basedOn w:val="DefaultParagraphFont"/>
    <w:uiPriority w:val="20"/>
    <w:qFormat/>
    <w:rsid w:val="002B5D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B5D8C"/>
    <w:rPr>
      <w:szCs w:val="32"/>
    </w:rPr>
  </w:style>
  <w:style w:type="paragraph" w:styleId="ListParagraph">
    <w:name w:val="List Paragraph"/>
    <w:basedOn w:val="Normal"/>
    <w:uiPriority w:val="34"/>
    <w:qFormat/>
    <w:rsid w:val="002B5D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B5D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B5D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D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D8C"/>
    <w:rPr>
      <w:b/>
      <w:i/>
      <w:sz w:val="24"/>
    </w:rPr>
  </w:style>
  <w:style w:type="character" w:styleId="SubtleEmphasis">
    <w:name w:val="Subtle Emphasis"/>
    <w:uiPriority w:val="19"/>
    <w:qFormat/>
    <w:rsid w:val="002B5D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B5D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B5D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B5D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B5D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5D8C"/>
    <w:pPr>
      <w:outlineLvl w:val="9"/>
    </w:pPr>
  </w:style>
  <w:style w:type="paragraph" w:customStyle="1" w:styleId="Default">
    <w:name w:val="Default"/>
    <w:rsid w:val="00AF2B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65E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E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E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5E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fo.westberks.gov.uk/CHttpHandler.ashx?id=41472&amp;p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013B-B7AB-4820-8AE3-3ACE17E9A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Holmes</dc:creator>
  <cp:keywords/>
  <dc:description/>
  <cp:lastModifiedBy>Andy Walker</cp:lastModifiedBy>
  <cp:revision>2</cp:revision>
  <dcterms:created xsi:type="dcterms:W3CDTF">2022-09-26T15:30:00Z</dcterms:created>
  <dcterms:modified xsi:type="dcterms:W3CDTF">2022-09-26T15:30:00Z</dcterms:modified>
</cp:coreProperties>
</file>