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EE2765D" w14:textId="20A07E3A" w:rsidR="00BB2D1F" w:rsidRPr="007677BC" w:rsidRDefault="00EE6DA0" w:rsidP="00BA12A2">
      <w:pPr>
        <w:pStyle w:val="BodyText"/>
        <w:spacing w:line="360" w:lineRule="auto"/>
        <w:jc w:val="center"/>
        <w:rPr>
          <w:rFonts w:asciiTheme="minorHAnsi" w:hAnsiTheme="minorHAnsi" w:cstheme="minorHAnsi"/>
          <w:b/>
          <w:bCs/>
          <w:color w:val="009999"/>
          <w:sz w:val="40"/>
          <w:szCs w:val="40"/>
        </w:rPr>
      </w:pPr>
      <w:bookmarkStart w:id="1" w:name="_GoBack"/>
      <w:bookmarkEnd w:id="1"/>
      <w:r>
        <w:rPr>
          <w:rFonts w:asciiTheme="minorHAnsi" w:hAnsiTheme="minorHAnsi" w:cstheme="minorHAnsi"/>
          <w:b/>
          <w:bCs/>
          <w:color w:val="009999"/>
          <w:sz w:val="40"/>
          <w:szCs w:val="40"/>
        </w:rPr>
        <w:t>West Berkshire</w:t>
      </w:r>
      <w:r w:rsidR="001A0EC3">
        <w:rPr>
          <w:rFonts w:asciiTheme="minorHAnsi" w:hAnsiTheme="minorHAnsi" w:cstheme="minorHAnsi"/>
          <w:b/>
          <w:bCs/>
          <w:color w:val="009999"/>
          <w:sz w:val="40"/>
          <w:szCs w:val="40"/>
        </w:rPr>
        <w:t xml:space="preserve"> District</w:t>
      </w:r>
    </w:p>
    <w:p w14:paraId="10E3AD19" w14:textId="554E6324" w:rsidR="00A16AF7" w:rsidRPr="007677BC" w:rsidRDefault="00BA12A2" w:rsidP="00BA12A2">
      <w:pPr>
        <w:pStyle w:val="BodyText"/>
        <w:spacing w:line="360" w:lineRule="auto"/>
        <w:jc w:val="center"/>
        <w:rPr>
          <w:rFonts w:asciiTheme="minorHAnsi" w:hAnsiTheme="minorHAnsi" w:cstheme="minorHAnsi"/>
          <w:b/>
          <w:bCs/>
          <w:color w:val="009999"/>
          <w:sz w:val="40"/>
          <w:szCs w:val="40"/>
        </w:rPr>
      </w:pPr>
      <w:r w:rsidRPr="007677BC">
        <w:rPr>
          <w:rFonts w:asciiTheme="minorHAnsi" w:hAnsiTheme="minorHAnsi" w:cstheme="minorHAnsi"/>
          <w:b/>
          <w:bCs/>
          <w:color w:val="009999"/>
          <w:sz w:val="40"/>
          <w:szCs w:val="40"/>
        </w:rPr>
        <w:t xml:space="preserve">Gypsy and Traveller and Travelling Showperson Accommodation Assessment </w:t>
      </w:r>
      <w:r w:rsidR="001A1A0F">
        <w:rPr>
          <w:rFonts w:asciiTheme="minorHAnsi" w:hAnsiTheme="minorHAnsi" w:cstheme="minorHAnsi"/>
          <w:b/>
          <w:bCs/>
          <w:color w:val="009999"/>
          <w:sz w:val="40"/>
          <w:szCs w:val="40"/>
        </w:rPr>
        <w:t>201</w:t>
      </w:r>
      <w:r w:rsidR="00747925">
        <w:rPr>
          <w:rFonts w:asciiTheme="minorHAnsi" w:hAnsiTheme="minorHAnsi" w:cstheme="minorHAnsi"/>
          <w:b/>
          <w:bCs/>
          <w:color w:val="009999"/>
          <w:sz w:val="40"/>
          <w:szCs w:val="40"/>
        </w:rPr>
        <w:t>9</w:t>
      </w:r>
    </w:p>
    <w:p w14:paraId="09744D5C" w14:textId="77777777" w:rsidR="006E035B" w:rsidRPr="007677BC" w:rsidRDefault="006E035B" w:rsidP="00E20E52">
      <w:pPr>
        <w:pStyle w:val="BodyText"/>
        <w:pBdr>
          <w:top w:val="single" w:sz="18" w:space="1" w:color="0D5F5D"/>
        </w:pBdr>
        <w:rPr>
          <w:rFonts w:asciiTheme="minorHAnsi" w:hAnsiTheme="minorHAnsi" w:cstheme="minorHAnsi"/>
          <w:bCs/>
          <w:color w:val="009999"/>
          <w:sz w:val="40"/>
          <w:szCs w:val="40"/>
        </w:rPr>
      </w:pPr>
    </w:p>
    <w:p w14:paraId="4DC87B84" w14:textId="77777777" w:rsidR="004B1CF8" w:rsidRPr="007677BC" w:rsidRDefault="004B1CF8" w:rsidP="002C4EDE">
      <w:pPr>
        <w:pStyle w:val="BodyText"/>
        <w:jc w:val="center"/>
        <w:rPr>
          <w:rFonts w:asciiTheme="minorHAnsi" w:hAnsiTheme="minorHAnsi" w:cstheme="minorHAnsi"/>
          <w:bCs/>
          <w:color w:val="009999"/>
          <w:sz w:val="40"/>
          <w:szCs w:val="40"/>
        </w:rPr>
      </w:pPr>
    </w:p>
    <w:p w14:paraId="1F376088" w14:textId="77777777" w:rsidR="004B1CF8" w:rsidRPr="007677BC" w:rsidRDefault="004B1CF8" w:rsidP="002C4EDE">
      <w:pPr>
        <w:pStyle w:val="BodyText"/>
        <w:jc w:val="center"/>
        <w:rPr>
          <w:rFonts w:asciiTheme="minorHAnsi" w:hAnsiTheme="minorHAnsi" w:cstheme="minorHAnsi"/>
          <w:bCs/>
          <w:color w:val="009999"/>
          <w:sz w:val="40"/>
          <w:szCs w:val="40"/>
        </w:rPr>
      </w:pPr>
    </w:p>
    <w:p w14:paraId="2A7EF243" w14:textId="77777777" w:rsidR="0031285F" w:rsidRPr="007677BC" w:rsidRDefault="0031285F" w:rsidP="002C4EDE">
      <w:pPr>
        <w:pStyle w:val="BodyText"/>
        <w:jc w:val="center"/>
        <w:rPr>
          <w:rFonts w:asciiTheme="minorHAnsi" w:hAnsiTheme="minorHAnsi" w:cstheme="minorHAnsi"/>
          <w:bCs/>
          <w:color w:val="009999"/>
          <w:sz w:val="40"/>
          <w:szCs w:val="40"/>
        </w:rPr>
      </w:pPr>
    </w:p>
    <w:p w14:paraId="6320B84C" w14:textId="77777777" w:rsidR="0031285F" w:rsidRPr="007677BC" w:rsidRDefault="0031285F" w:rsidP="002C4EDE">
      <w:pPr>
        <w:pStyle w:val="BodyText"/>
        <w:jc w:val="center"/>
        <w:rPr>
          <w:rFonts w:asciiTheme="minorHAnsi" w:hAnsiTheme="minorHAnsi" w:cstheme="minorHAnsi"/>
          <w:bCs/>
          <w:color w:val="009999"/>
          <w:sz w:val="40"/>
          <w:szCs w:val="40"/>
        </w:rPr>
      </w:pPr>
    </w:p>
    <w:p w14:paraId="607AF942" w14:textId="407C7858" w:rsidR="00E4601B" w:rsidRPr="007677BC" w:rsidRDefault="00EE6DA0" w:rsidP="00E4601B">
      <w:pPr>
        <w:pStyle w:val="BodyText"/>
        <w:jc w:val="center"/>
        <w:rPr>
          <w:rFonts w:asciiTheme="minorHAnsi" w:hAnsiTheme="minorHAnsi" w:cstheme="minorHAnsi"/>
          <w:bCs/>
          <w:color w:val="009999"/>
          <w:sz w:val="40"/>
          <w:szCs w:val="40"/>
        </w:rPr>
      </w:pPr>
      <w:r>
        <w:rPr>
          <w:rFonts w:asciiTheme="minorHAnsi" w:hAnsiTheme="minorHAnsi" w:cstheme="minorHAnsi"/>
          <w:bCs/>
          <w:color w:val="009999"/>
          <w:sz w:val="40"/>
          <w:szCs w:val="40"/>
        </w:rPr>
        <w:t>West Berkshire</w:t>
      </w:r>
      <w:r w:rsidR="009C1C62">
        <w:rPr>
          <w:rFonts w:asciiTheme="minorHAnsi" w:hAnsiTheme="minorHAnsi" w:cstheme="minorHAnsi"/>
          <w:bCs/>
          <w:color w:val="009999"/>
          <w:sz w:val="40"/>
          <w:szCs w:val="40"/>
        </w:rPr>
        <w:t xml:space="preserve"> Council</w:t>
      </w:r>
    </w:p>
    <w:p w14:paraId="54CF9CEB" w14:textId="77777777" w:rsidR="0031285F" w:rsidRPr="007677BC" w:rsidRDefault="0031285F" w:rsidP="002C4EDE">
      <w:pPr>
        <w:pStyle w:val="BodyText"/>
        <w:jc w:val="center"/>
        <w:rPr>
          <w:rFonts w:asciiTheme="minorHAnsi" w:hAnsiTheme="minorHAnsi" w:cstheme="minorHAnsi"/>
          <w:bCs/>
          <w:color w:val="009999"/>
          <w:sz w:val="40"/>
          <w:szCs w:val="40"/>
        </w:rPr>
      </w:pPr>
    </w:p>
    <w:p w14:paraId="3BC3B75E" w14:textId="77777777" w:rsidR="0031285F" w:rsidRPr="007677BC" w:rsidRDefault="0031285F" w:rsidP="002C4EDE">
      <w:pPr>
        <w:pStyle w:val="BodyText"/>
        <w:jc w:val="center"/>
        <w:rPr>
          <w:rFonts w:asciiTheme="minorHAnsi" w:hAnsiTheme="minorHAnsi" w:cstheme="minorHAnsi"/>
          <w:bCs/>
          <w:color w:val="009999"/>
          <w:sz w:val="40"/>
          <w:szCs w:val="40"/>
        </w:rPr>
      </w:pPr>
    </w:p>
    <w:p w14:paraId="650AB6CC" w14:textId="77777777" w:rsidR="00BA12A2" w:rsidRPr="007677BC" w:rsidRDefault="00BA12A2" w:rsidP="002C4EDE">
      <w:pPr>
        <w:pStyle w:val="BodyText"/>
        <w:jc w:val="center"/>
        <w:rPr>
          <w:rFonts w:asciiTheme="minorHAnsi" w:hAnsiTheme="minorHAnsi" w:cstheme="minorHAnsi"/>
          <w:bCs/>
          <w:color w:val="009999"/>
          <w:sz w:val="40"/>
          <w:szCs w:val="40"/>
        </w:rPr>
      </w:pPr>
    </w:p>
    <w:p w14:paraId="6713ADD6" w14:textId="04735441" w:rsidR="00EA7FD7" w:rsidRPr="007677BC" w:rsidRDefault="00651A1B" w:rsidP="002C4EDE">
      <w:pPr>
        <w:pStyle w:val="BodyText"/>
        <w:jc w:val="center"/>
        <w:rPr>
          <w:rFonts w:asciiTheme="minorHAnsi" w:hAnsiTheme="minorHAnsi" w:cstheme="minorHAnsi"/>
          <w:bCs/>
          <w:color w:val="009999"/>
          <w:sz w:val="40"/>
          <w:szCs w:val="40"/>
        </w:rPr>
      </w:pPr>
      <w:r>
        <w:rPr>
          <w:rFonts w:asciiTheme="minorHAnsi" w:hAnsiTheme="minorHAnsi" w:cstheme="minorHAnsi"/>
          <w:color w:val="009999"/>
          <w:sz w:val="40"/>
        </w:rPr>
        <w:t xml:space="preserve">Final </w:t>
      </w:r>
      <w:r w:rsidR="00A16AF7" w:rsidRPr="007677BC">
        <w:rPr>
          <w:rFonts w:asciiTheme="minorHAnsi" w:hAnsiTheme="minorHAnsi" w:cstheme="minorHAnsi"/>
          <w:bCs/>
          <w:color w:val="009999"/>
          <w:sz w:val="40"/>
          <w:szCs w:val="40"/>
        </w:rPr>
        <w:t>Report</w:t>
      </w:r>
    </w:p>
    <w:p w14:paraId="7900E300" w14:textId="191D1A0B" w:rsidR="00D219B2" w:rsidRPr="007677BC" w:rsidRDefault="00747925" w:rsidP="002C4EDE">
      <w:pPr>
        <w:pStyle w:val="BodyText"/>
        <w:jc w:val="center"/>
        <w:rPr>
          <w:rFonts w:asciiTheme="minorHAnsi" w:hAnsiTheme="minorHAnsi" w:cstheme="minorHAnsi"/>
          <w:bCs/>
          <w:color w:val="009999"/>
          <w:sz w:val="32"/>
          <w:szCs w:val="40"/>
        </w:rPr>
      </w:pPr>
      <w:r>
        <w:rPr>
          <w:rFonts w:asciiTheme="minorHAnsi" w:hAnsiTheme="minorHAnsi" w:cstheme="minorHAnsi"/>
          <w:bCs/>
          <w:color w:val="009999"/>
          <w:sz w:val="32"/>
          <w:szCs w:val="40"/>
        </w:rPr>
        <w:t>Ma</w:t>
      </w:r>
      <w:r w:rsidR="0079170A">
        <w:rPr>
          <w:rFonts w:asciiTheme="minorHAnsi" w:hAnsiTheme="minorHAnsi" w:cstheme="minorHAnsi"/>
          <w:bCs/>
          <w:color w:val="009999"/>
          <w:sz w:val="32"/>
          <w:szCs w:val="40"/>
        </w:rPr>
        <w:t>y</w:t>
      </w:r>
      <w:r>
        <w:rPr>
          <w:rFonts w:asciiTheme="minorHAnsi" w:hAnsiTheme="minorHAnsi" w:cstheme="minorHAnsi"/>
          <w:bCs/>
          <w:color w:val="009999"/>
          <w:sz w:val="32"/>
          <w:szCs w:val="40"/>
        </w:rPr>
        <w:t xml:space="preserve"> 2019</w:t>
      </w:r>
    </w:p>
    <w:p w14:paraId="3211654C" w14:textId="77777777" w:rsidR="004B1CF8" w:rsidRPr="007677BC" w:rsidRDefault="004B1CF8" w:rsidP="002C4EDE">
      <w:pPr>
        <w:jc w:val="center"/>
        <w:rPr>
          <w:rFonts w:asciiTheme="minorHAnsi" w:hAnsiTheme="minorHAnsi" w:cstheme="minorHAnsi"/>
          <w:color w:val="009999"/>
          <w:sz w:val="32"/>
          <w:szCs w:val="32"/>
        </w:rPr>
      </w:pPr>
    </w:p>
    <w:p w14:paraId="6067D678" w14:textId="77777777" w:rsidR="00EA7FD7" w:rsidRPr="007677BC" w:rsidRDefault="00EA7FD7" w:rsidP="00845179">
      <w:pPr>
        <w:rPr>
          <w:rFonts w:asciiTheme="minorHAnsi" w:hAnsiTheme="minorHAnsi" w:cstheme="minorHAnsi"/>
          <w:color w:val="009999"/>
        </w:rPr>
      </w:pPr>
    </w:p>
    <w:p w14:paraId="0A55F22F" w14:textId="77777777" w:rsidR="004977F2" w:rsidRPr="007677BC" w:rsidRDefault="004977F2" w:rsidP="00845179">
      <w:pPr>
        <w:rPr>
          <w:rFonts w:asciiTheme="minorHAnsi" w:hAnsiTheme="minorHAnsi" w:cstheme="minorHAnsi"/>
          <w:color w:val="009999"/>
        </w:rPr>
      </w:pPr>
    </w:p>
    <w:p w14:paraId="11424F28" w14:textId="77777777" w:rsidR="004B1CF8" w:rsidRPr="007677BC" w:rsidRDefault="004B1CF8" w:rsidP="00845179">
      <w:pPr>
        <w:rPr>
          <w:rFonts w:asciiTheme="minorHAnsi" w:hAnsiTheme="minorHAnsi" w:cstheme="minorHAnsi"/>
          <w:color w:val="009999"/>
        </w:rPr>
      </w:pPr>
    </w:p>
    <w:p w14:paraId="2CF10982" w14:textId="3370505E" w:rsidR="009E1EC9" w:rsidRPr="007677BC" w:rsidRDefault="009E1EC9" w:rsidP="0012499B">
      <w:pPr>
        <w:rPr>
          <w:rFonts w:asciiTheme="minorHAnsi" w:hAnsiTheme="minorHAnsi" w:cstheme="minorHAnsi"/>
          <w:color w:val="009999"/>
          <w:sz w:val="28"/>
        </w:rPr>
      </w:pPr>
    </w:p>
    <w:p w14:paraId="36068769" w14:textId="77777777" w:rsidR="009E1EC9" w:rsidRPr="007677BC" w:rsidRDefault="009E1EC9" w:rsidP="00FC1290">
      <w:pPr>
        <w:pBdr>
          <w:bottom w:val="single" w:sz="18" w:space="1" w:color="008080"/>
        </w:pBdr>
        <w:rPr>
          <w:rFonts w:asciiTheme="minorHAnsi" w:hAnsiTheme="minorHAnsi" w:cstheme="minorHAnsi"/>
          <w:color w:val="009999"/>
        </w:rPr>
      </w:pPr>
    </w:p>
    <w:p w14:paraId="3385900D" w14:textId="2632A493" w:rsidR="00EA7FD7" w:rsidRPr="007677BC" w:rsidRDefault="00841978" w:rsidP="00841978">
      <w:pPr>
        <w:tabs>
          <w:tab w:val="left" w:pos="1843"/>
        </w:tabs>
        <w:spacing w:before="0" w:after="0"/>
        <w:rPr>
          <w:rFonts w:asciiTheme="minorHAnsi" w:hAnsiTheme="minorHAnsi" w:cstheme="minorHAnsi"/>
          <w:b/>
          <w:color w:val="009999"/>
        </w:rPr>
      </w:pPr>
      <w:r w:rsidRPr="007677BC">
        <w:rPr>
          <w:rFonts w:asciiTheme="minorHAnsi" w:hAnsiTheme="minorHAnsi" w:cstheme="minorHAnsi"/>
          <w:noProof/>
          <w:color w:val="009999"/>
          <w:lang w:eastAsia="en-GB"/>
        </w:rPr>
        <w:drawing>
          <wp:anchor distT="0" distB="0" distL="114300" distR="114300" simplePos="0" relativeHeight="251656192" behindDoc="1" locked="1" layoutInCell="0" allowOverlap="1" wp14:anchorId="02D6E25A" wp14:editId="5029A5FC">
            <wp:simplePos x="0" y="0"/>
            <wp:positionH relativeFrom="margin">
              <wp:align>right</wp:align>
            </wp:positionH>
            <wp:positionV relativeFrom="page">
              <wp:posOffset>8290560</wp:posOffset>
            </wp:positionV>
            <wp:extent cx="1745615" cy="1011555"/>
            <wp:effectExtent l="0" t="0" r="6985" b="0"/>
            <wp:wrapThrough wrapText="bothSides">
              <wp:wrapPolygon edited="0">
                <wp:start x="12493" y="0"/>
                <wp:lineTo x="9193" y="2034"/>
                <wp:lineTo x="9429" y="3661"/>
                <wp:lineTo x="19801" y="6508"/>
                <wp:lineTo x="0" y="7729"/>
                <wp:lineTo x="0" y="19525"/>
                <wp:lineTo x="18858" y="19525"/>
                <wp:lineTo x="18151" y="21153"/>
                <wp:lineTo x="19329" y="21153"/>
                <wp:lineTo x="20272" y="19525"/>
                <wp:lineTo x="21451" y="15458"/>
                <wp:lineTo x="21451" y="5288"/>
                <wp:lineTo x="18858" y="1220"/>
                <wp:lineTo x="17208" y="0"/>
                <wp:lineTo x="12493" y="0"/>
              </wp:wrapPolygon>
            </wp:wrapThrough>
            <wp:docPr id="1" name="Picture 1" descr="C:\Users\Sandie Brand\Documents\ARC4\Logos\Various File Formats\P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ie Brand\Documents\ARC4\Logos\Various File Formats\PNG\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5615" cy="1011555"/>
                    </a:xfrm>
                    <a:prstGeom prst="rect">
                      <a:avLst/>
                    </a:prstGeom>
                    <a:noFill/>
                    <a:ln>
                      <a:noFill/>
                    </a:ln>
                  </pic:spPr>
                </pic:pic>
              </a:graphicData>
            </a:graphic>
          </wp:anchor>
        </w:drawing>
      </w:r>
      <w:r w:rsidR="00F30939" w:rsidRPr="007677BC">
        <w:rPr>
          <w:rFonts w:asciiTheme="minorHAnsi" w:hAnsiTheme="minorHAnsi" w:cstheme="minorHAnsi"/>
          <w:b/>
          <w:color w:val="009999"/>
        </w:rPr>
        <w:t>Main Contact:</w:t>
      </w:r>
      <w:r w:rsidR="00F30939" w:rsidRPr="007677BC">
        <w:rPr>
          <w:rFonts w:asciiTheme="minorHAnsi" w:hAnsiTheme="minorHAnsi" w:cstheme="minorHAnsi"/>
          <w:b/>
          <w:color w:val="009999"/>
        </w:rPr>
        <w:tab/>
      </w:r>
      <w:r w:rsidR="0031285F" w:rsidRPr="007677BC">
        <w:rPr>
          <w:rFonts w:asciiTheme="minorHAnsi" w:hAnsiTheme="minorHAnsi" w:cstheme="minorHAnsi"/>
          <w:b/>
          <w:color w:val="009999"/>
        </w:rPr>
        <w:t>Dr Michael Bullock</w:t>
      </w:r>
    </w:p>
    <w:p w14:paraId="25F41273" w14:textId="036CAA9D" w:rsidR="003A6F13" w:rsidRPr="007677BC" w:rsidRDefault="003A6F13" w:rsidP="00841978">
      <w:pPr>
        <w:tabs>
          <w:tab w:val="left" w:pos="1843"/>
        </w:tabs>
        <w:spacing w:before="0" w:after="0"/>
        <w:rPr>
          <w:rFonts w:asciiTheme="minorHAnsi" w:hAnsiTheme="minorHAnsi" w:cstheme="minorHAnsi"/>
          <w:b/>
          <w:color w:val="009999"/>
        </w:rPr>
      </w:pPr>
      <w:r w:rsidRPr="007677BC">
        <w:rPr>
          <w:rFonts w:asciiTheme="minorHAnsi" w:hAnsiTheme="minorHAnsi" w:cstheme="minorHAnsi"/>
          <w:b/>
          <w:color w:val="009999"/>
        </w:rPr>
        <w:t xml:space="preserve">Email:  </w:t>
      </w:r>
      <w:r w:rsidR="00F30939" w:rsidRPr="007677BC">
        <w:rPr>
          <w:rFonts w:asciiTheme="minorHAnsi" w:hAnsiTheme="minorHAnsi" w:cstheme="minorHAnsi"/>
          <w:b/>
          <w:color w:val="009999"/>
        </w:rPr>
        <w:tab/>
      </w:r>
      <w:r w:rsidR="008E276D" w:rsidRPr="007677BC">
        <w:rPr>
          <w:rFonts w:asciiTheme="minorHAnsi" w:hAnsiTheme="minorHAnsi" w:cstheme="minorHAnsi"/>
          <w:b/>
          <w:color w:val="009999"/>
        </w:rPr>
        <w:t>m</w:t>
      </w:r>
      <w:r w:rsidR="00EA7FD7" w:rsidRPr="007677BC">
        <w:rPr>
          <w:rFonts w:asciiTheme="minorHAnsi" w:hAnsiTheme="minorHAnsi" w:cstheme="minorHAnsi"/>
          <w:b/>
          <w:color w:val="009999"/>
        </w:rPr>
        <w:t>ichael.bullock@</w:t>
      </w:r>
      <w:r w:rsidR="00F30939" w:rsidRPr="007677BC">
        <w:rPr>
          <w:rFonts w:asciiTheme="minorHAnsi" w:hAnsiTheme="minorHAnsi" w:cstheme="minorHAnsi"/>
          <w:b/>
          <w:color w:val="009999"/>
        </w:rPr>
        <w:t>arc4.co.uk</w:t>
      </w:r>
      <w:r w:rsidRPr="007677BC">
        <w:rPr>
          <w:rFonts w:asciiTheme="minorHAnsi" w:hAnsiTheme="minorHAnsi" w:cstheme="minorHAnsi"/>
          <w:b/>
          <w:color w:val="009999"/>
        </w:rPr>
        <w:t xml:space="preserve">  </w:t>
      </w:r>
    </w:p>
    <w:p w14:paraId="1F748372" w14:textId="77777777" w:rsidR="00EA7FD7" w:rsidRPr="007677BC" w:rsidRDefault="00F30939" w:rsidP="00841978">
      <w:pPr>
        <w:tabs>
          <w:tab w:val="left" w:pos="1843"/>
        </w:tabs>
        <w:spacing w:before="0" w:after="0"/>
        <w:rPr>
          <w:rFonts w:asciiTheme="minorHAnsi" w:hAnsiTheme="minorHAnsi" w:cstheme="minorHAnsi"/>
          <w:b/>
          <w:color w:val="009999"/>
        </w:rPr>
      </w:pPr>
      <w:r w:rsidRPr="007677BC">
        <w:rPr>
          <w:rFonts w:asciiTheme="minorHAnsi" w:hAnsiTheme="minorHAnsi" w:cstheme="minorHAnsi"/>
          <w:b/>
          <w:bCs/>
          <w:color w:val="009999"/>
        </w:rPr>
        <w:t>Telephone:</w:t>
      </w:r>
      <w:r w:rsidRPr="007677BC">
        <w:rPr>
          <w:rFonts w:asciiTheme="minorHAnsi" w:hAnsiTheme="minorHAnsi" w:cstheme="minorHAnsi"/>
          <w:b/>
          <w:bCs/>
          <w:color w:val="009999"/>
        </w:rPr>
        <w:tab/>
      </w:r>
      <w:r w:rsidR="00AF793F" w:rsidRPr="007677BC">
        <w:rPr>
          <w:rFonts w:asciiTheme="minorHAnsi" w:hAnsiTheme="minorHAnsi" w:cstheme="minorHAnsi"/>
          <w:b/>
          <w:color w:val="009999"/>
        </w:rPr>
        <w:t>0800 612 9133</w:t>
      </w:r>
    </w:p>
    <w:p w14:paraId="53E372B2" w14:textId="77777777" w:rsidR="003A6F13" w:rsidRPr="007677BC" w:rsidRDefault="003A6F13" w:rsidP="00841978">
      <w:pPr>
        <w:tabs>
          <w:tab w:val="left" w:pos="1843"/>
        </w:tabs>
        <w:spacing w:before="0" w:after="0"/>
        <w:rPr>
          <w:rFonts w:asciiTheme="minorHAnsi" w:hAnsiTheme="minorHAnsi" w:cstheme="minorHAnsi"/>
          <w:b/>
          <w:bCs/>
          <w:color w:val="009999"/>
        </w:rPr>
      </w:pPr>
      <w:r w:rsidRPr="007677BC">
        <w:rPr>
          <w:rFonts w:asciiTheme="minorHAnsi" w:hAnsiTheme="minorHAnsi" w:cstheme="minorHAnsi"/>
          <w:b/>
          <w:bCs/>
          <w:color w:val="009999"/>
        </w:rPr>
        <w:t xml:space="preserve">Website:  </w:t>
      </w:r>
      <w:r w:rsidR="00F30939" w:rsidRPr="007677BC">
        <w:rPr>
          <w:rFonts w:asciiTheme="minorHAnsi" w:hAnsiTheme="minorHAnsi" w:cstheme="minorHAnsi"/>
          <w:b/>
          <w:bCs/>
          <w:color w:val="009999"/>
        </w:rPr>
        <w:tab/>
      </w:r>
      <w:hyperlink r:id="rId9" w:history="1">
        <w:r w:rsidRPr="007677BC">
          <w:rPr>
            <w:rStyle w:val="Hyperlink"/>
            <w:rFonts w:asciiTheme="minorHAnsi" w:hAnsiTheme="minorHAnsi" w:cstheme="minorHAnsi"/>
            <w:b/>
            <w:color w:val="009999"/>
          </w:rPr>
          <w:t>www</w:t>
        </w:r>
        <w:r w:rsidRPr="007677BC">
          <w:rPr>
            <w:rFonts w:asciiTheme="minorHAnsi" w:hAnsiTheme="minorHAnsi" w:cstheme="minorHAnsi"/>
            <w:b/>
            <w:bCs/>
            <w:color w:val="009999"/>
            <w:u w:val="single"/>
          </w:rPr>
          <w:t>.arc4.co.uk</w:t>
        </w:r>
      </w:hyperlink>
      <w:r w:rsidRPr="007677BC">
        <w:rPr>
          <w:rFonts w:asciiTheme="minorHAnsi" w:hAnsiTheme="minorHAnsi" w:cstheme="minorHAnsi"/>
          <w:b/>
          <w:bCs/>
          <w:color w:val="009999"/>
        </w:rPr>
        <w:t xml:space="preserve"> </w:t>
      </w:r>
    </w:p>
    <w:p w14:paraId="57B3FF0A" w14:textId="063D9182" w:rsidR="0043323F" w:rsidRPr="007677BC" w:rsidRDefault="007D408C" w:rsidP="007D408C">
      <w:pPr>
        <w:pStyle w:val="NormalWeb"/>
        <w:shd w:val="clear" w:color="auto" w:fill="FFFFFF"/>
        <w:rPr>
          <w:rFonts w:asciiTheme="minorHAnsi" w:hAnsiTheme="minorHAnsi" w:cstheme="minorHAnsi"/>
          <w:i/>
          <w:iCs/>
          <w:color w:val="009999"/>
          <w:sz w:val="18"/>
          <w:szCs w:val="20"/>
        </w:rPr>
      </w:pPr>
      <w:r w:rsidRPr="007677BC">
        <w:rPr>
          <w:rFonts w:asciiTheme="minorHAnsi" w:hAnsiTheme="minorHAnsi" w:cstheme="minorHAnsi"/>
          <w:i/>
          <w:iCs/>
          <w:color w:val="009999"/>
          <w:sz w:val="18"/>
          <w:szCs w:val="20"/>
        </w:rPr>
        <w:t>©</w:t>
      </w:r>
      <w:r w:rsidR="002500C0" w:rsidRPr="007677BC">
        <w:rPr>
          <w:rFonts w:asciiTheme="minorHAnsi" w:hAnsiTheme="minorHAnsi" w:cstheme="minorHAnsi"/>
          <w:i/>
          <w:iCs/>
          <w:color w:val="009999"/>
          <w:sz w:val="18"/>
          <w:szCs w:val="20"/>
        </w:rPr>
        <w:t xml:space="preserve"> 201</w:t>
      </w:r>
      <w:r w:rsidR="00AF21FD">
        <w:rPr>
          <w:rFonts w:asciiTheme="minorHAnsi" w:hAnsiTheme="minorHAnsi" w:cstheme="minorHAnsi"/>
          <w:i/>
          <w:iCs/>
          <w:color w:val="009999"/>
          <w:sz w:val="18"/>
          <w:szCs w:val="20"/>
        </w:rPr>
        <w:t>9</w:t>
      </w:r>
      <w:r w:rsidR="00EA7FD7" w:rsidRPr="007677BC">
        <w:rPr>
          <w:rFonts w:asciiTheme="minorHAnsi" w:hAnsiTheme="minorHAnsi" w:cstheme="minorHAnsi"/>
          <w:i/>
          <w:iCs/>
          <w:color w:val="009999"/>
          <w:sz w:val="18"/>
          <w:szCs w:val="20"/>
        </w:rPr>
        <w:t xml:space="preserve"> </w:t>
      </w:r>
      <w:r w:rsidRPr="007677BC">
        <w:rPr>
          <w:rFonts w:asciiTheme="minorHAnsi" w:hAnsiTheme="minorHAnsi" w:cstheme="minorHAnsi"/>
          <w:i/>
          <w:iCs/>
          <w:color w:val="009999"/>
          <w:sz w:val="18"/>
          <w:szCs w:val="20"/>
        </w:rPr>
        <w:t>arc</w:t>
      </w:r>
      <w:r w:rsidRPr="007677BC">
        <w:rPr>
          <w:rFonts w:asciiTheme="minorHAnsi" w:hAnsiTheme="minorHAnsi" w:cstheme="minorHAnsi"/>
          <w:i/>
          <w:iCs/>
          <w:color w:val="009999"/>
          <w:sz w:val="18"/>
          <w:szCs w:val="20"/>
          <w:vertAlign w:val="superscript"/>
        </w:rPr>
        <w:t>4</w:t>
      </w:r>
      <w:r w:rsidRPr="007677BC">
        <w:rPr>
          <w:rFonts w:asciiTheme="minorHAnsi" w:hAnsiTheme="minorHAnsi" w:cstheme="minorHAnsi"/>
          <w:i/>
          <w:iCs/>
          <w:color w:val="009999"/>
          <w:sz w:val="18"/>
          <w:szCs w:val="20"/>
        </w:rPr>
        <w:t xml:space="preserve"> Limited (Company No. 06205180)</w:t>
      </w:r>
    </w:p>
    <w:p w14:paraId="06D2C636" w14:textId="77777777" w:rsidR="00A11AC7" w:rsidRDefault="0043323F" w:rsidP="0031285F">
      <w:pPr>
        <w:pStyle w:val="TOCHeading1"/>
        <w:rPr>
          <w:i/>
          <w:iCs/>
          <w:sz w:val="18"/>
          <w:szCs w:val="20"/>
        </w:rPr>
        <w:sectPr w:rsidR="00A11AC7" w:rsidSect="00787125">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440" w:left="1440" w:header="709" w:footer="709" w:gutter="0"/>
          <w:pgBorders w:offsetFrom="page">
            <w:top w:val="none" w:sz="0" w:space="0" w:color="000000"/>
            <w:left w:val="none" w:sz="0" w:space="0" w:color="000000"/>
            <w:bottom w:val="none" w:sz="0" w:space="0" w:color="000000"/>
            <w:right w:val="none" w:sz="0" w:space="0" w:color="000000"/>
          </w:pgBorders>
          <w:cols w:space="720"/>
          <w:titlePg/>
          <w:docGrid w:linePitch="326"/>
        </w:sectPr>
      </w:pPr>
      <w:r>
        <w:rPr>
          <w:i/>
          <w:iCs/>
          <w:sz w:val="18"/>
          <w:szCs w:val="20"/>
        </w:rPr>
        <w:br w:type="page"/>
      </w:r>
    </w:p>
    <w:p w14:paraId="159F1E9A" w14:textId="77777777" w:rsidR="004227CE" w:rsidRPr="00CD2BD0" w:rsidRDefault="004227CE" w:rsidP="004227CE">
      <w:pPr>
        <w:pStyle w:val="Maintext"/>
        <w:numPr>
          <w:ilvl w:val="0"/>
          <w:numId w:val="0"/>
        </w:numPr>
        <w:rPr>
          <w:rFonts w:cs="Arial"/>
          <w:b/>
          <w:iCs/>
          <w:color w:val="008080"/>
          <w:lang w:eastAsia="en-GB"/>
        </w:rPr>
      </w:pPr>
      <w:r w:rsidRPr="00CD2BD0">
        <w:rPr>
          <w:rFonts w:cs="Arial"/>
          <w:b/>
          <w:iCs/>
          <w:color w:val="008080"/>
          <w:lang w:eastAsia="en-GB"/>
        </w:rPr>
        <w:lastRenderedPageBreak/>
        <w:t>Please note that in this report some of the tables include rounded figures. This can result in some column or row totals not adding up to 100 or to the anticipated row or column ‘total’ due to the use of rounded decimal figures. We include this description here as it covers all tables and associated textual commentary included. If tables or figures are to be used in-house then we recommend the addition of a similarly worded statement being included as a note to each table used.</w:t>
      </w:r>
    </w:p>
    <w:p w14:paraId="1465A7CE" w14:textId="77777777" w:rsidR="004227CE" w:rsidRDefault="004227CE" w:rsidP="004227CE">
      <w:pPr>
        <w:tabs>
          <w:tab w:val="right" w:pos="9214"/>
          <w:tab w:val="right" w:leader="dot" w:pos="9356"/>
        </w:tabs>
        <w:ind w:right="-2"/>
        <w:rPr>
          <w:rFonts w:cs="Arial"/>
        </w:rPr>
      </w:pPr>
    </w:p>
    <w:p w14:paraId="1AE3439C" w14:textId="77777777" w:rsidR="004227CE" w:rsidRDefault="004227CE" w:rsidP="004227CE">
      <w:pPr>
        <w:tabs>
          <w:tab w:val="right" w:pos="9214"/>
          <w:tab w:val="right" w:leader="dot" w:pos="9356"/>
        </w:tabs>
        <w:ind w:right="-2"/>
        <w:rPr>
          <w:rFonts w:cs="Arial"/>
        </w:rPr>
      </w:pPr>
    </w:p>
    <w:p w14:paraId="1BA56CE0" w14:textId="77777777" w:rsidR="004227CE" w:rsidRDefault="004227CE" w:rsidP="004227CE">
      <w:pPr>
        <w:tabs>
          <w:tab w:val="right" w:pos="9214"/>
          <w:tab w:val="right" w:leader="dot" w:pos="9356"/>
        </w:tabs>
        <w:ind w:right="-2"/>
        <w:rPr>
          <w:rFonts w:cs="Arial"/>
        </w:rPr>
      </w:pPr>
    </w:p>
    <w:p w14:paraId="344E7F81" w14:textId="77777777" w:rsidR="004227CE" w:rsidRDefault="004227CE" w:rsidP="004227CE">
      <w:pPr>
        <w:tabs>
          <w:tab w:val="right" w:pos="9214"/>
          <w:tab w:val="right" w:leader="dot" w:pos="9356"/>
        </w:tabs>
        <w:ind w:right="-2"/>
        <w:rPr>
          <w:rFonts w:cs="Arial"/>
        </w:rPr>
      </w:pPr>
    </w:p>
    <w:p w14:paraId="142321ED" w14:textId="77777777" w:rsidR="004227CE" w:rsidRDefault="004227CE" w:rsidP="004227CE">
      <w:pPr>
        <w:tabs>
          <w:tab w:val="right" w:pos="9214"/>
          <w:tab w:val="right" w:leader="dot" w:pos="9356"/>
        </w:tabs>
        <w:ind w:right="-2"/>
        <w:rPr>
          <w:rFonts w:cs="Arial"/>
        </w:rPr>
      </w:pPr>
    </w:p>
    <w:p w14:paraId="22D947AF" w14:textId="77777777" w:rsidR="004227CE" w:rsidRDefault="004227CE" w:rsidP="004227CE">
      <w:pPr>
        <w:tabs>
          <w:tab w:val="right" w:pos="9214"/>
          <w:tab w:val="right" w:leader="dot" w:pos="9356"/>
        </w:tabs>
        <w:ind w:right="-2"/>
        <w:rPr>
          <w:rFonts w:cs="Arial"/>
        </w:rPr>
      </w:pPr>
    </w:p>
    <w:p w14:paraId="049FBC1A" w14:textId="77777777" w:rsidR="004227CE" w:rsidRDefault="004227CE" w:rsidP="004227CE">
      <w:pPr>
        <w:tabs>
          <w:tab w:val="right" w:pos="9214"/>
          <w:tab w:val="right" w:leader="dot" w:pos="9356"/>
        </w:tabs>
        <w:ind w:right="-2"/>
        <w:rPr>
          <w:rFonts w:cs="Arial"/>
        </w:rPr>
      </w:pPr>
    </w:p>
    <w:p w14:paraId="7EFFD568" w14:textId="77777777" w:rsidR="004227CE" w:rsidRDefault="004227CE" w:rsidP="004227CE">
      <w:pPr>
        <w:tabs>
          <w:tab w:val="right" w:pos="9214"/>
          <w:tab w:val="right" w:leader="dot" w:pos="9356"/>
        </w:tabs>
        <w:ind w:right="-2"/>
        <w:rPr>
          <w:rFonts w:cs="Arial"/>
        </w:rPr>
      </w:pPr>
    </w:p>
    <w:p w14:paraId="37AAFE2D" w14:textId="77777777" w:rsidR="004227CE" w:rsidRDefault="004227CE" w:rsidP="004227CE">
      <w:pPr>
        <w:tabs>
          <w:tab w:val="right" w:pos="9214"/>
          <w:tab w:val="right" w:leader="dot" w:pos="9356"/>
        </w:tabs>
        <w:ind w:right="-2"/>
        <w:rPr>
          <w:rFonts w:cs="Arial"/>
        </w:rPr>
      </w:pPr>
    </w:p>
    <w:p w14:paraId="35E5E6E1" w14:textId="77777777" w:rsidR="004227CE" w:rsidRDefault="004227CE" w:rsidP="004227CE">
      <w:pPr>
        <w:tabs>
          <w:tab w:val="right" w:pos="9214"/>
          <w:tab w:val="right" w:leader="dot" w:pos="9356"/>
        </w:tabs>
        <w:ind w:right="-2"/>
        <w:rPr>
          <w:rFonts w:cs="Arial"/>
        </w:rPr>
      </w:pPr>
    </w:p>
    <w:p w14:paraId="4FD71A1B" w14:textId="77777777" w:rsidR="004227CE" w:rsidRDefault="004227CE" w:rsidP="004227CE">
      <w:pPr>
        <w:tabs>
          <w:tab w:val="right" w:pos="9214"/>
          <w:tab w:val="right" w:leader="dot" w:pos="9356"/>
        </w:tabs>
        <w:ind w:right="-2"/>
        <w:rPr>
          <w:rFonts w:cs="Arial"/>
        </w:rPr>
      </w:pPr>
    </w:p>
    <w:p w14:paraId="0A116BE2" w14:textId="77777777" w:rsidR="004227CE" w:rsidRDefault="004227CE" w:rsidP="004227CE">
      <w:pPr>
        <w:tabs>
          <w:tab w:val="right" w:pos="9214"/>
          <w:tab w:val="right" w:leader="dot" w:pos="9356"/>
        </w:tabs>
        <w:ind w:right="-2"/>
        <w:rPr>
          <w:rFonts w:cs="Arial"/>
        </w:rPr>
      </w:pPr>
    </w:p>
    <w:p w14:paraId="59646A0F" w14:textId="77777777" w:rsidR="004227CE" w:rsidRDefault="004227CE" w:rsidP="004227CE">
      <w:pPr>
        <w:tabs>
          <w:tab w:val="right" w:pos="9214"/>
          <w:tab w:val="right" w:leader="dot" w:pos="9356"/>
        </w:tabs>
        <w:ind w:right="-2"/>
        <w:rPr>
          <w:rFonts w:cs="Arial"/>
        </w:rPr>
      </w:pPr>
    </w:p>
    <w:p w14:paraId="7C459AAF" w14:textId="77777777" w:rsidR="004227CE" w:rsidRDefault="004227CE" w:rsidP="004227CE">
      <w:pPr>
        <w:tabs>
          <w:tab w:val="right" w:pos="9214"/>
          <w:tab w:val="right" w:leader="dot" w:pos="9356"/>
        </w:tabs>
        <w:ind w:right="-2"/>
        <w:rPr>
          <w:rFonts w:cs="Arial"/>
        </w:rPr>
      </w:pPr>
    </w:p>
    <w:p w14:paraId="154C3898" w14:textId="77777777" w:rsidR="004227CE" w:rsidRDefault="004227CE" w:rsidP="004227CE">
      <w:pPr>
        <w:tabs>
          <w:tab w:val="right" w:pos="9214"/>
          <w:tab w:val="right" w:leader="dot" w:pos="9356"/>
        </w:tabs>
        <w:ind w:right="-2"/>
        <w:rPr>
          <w:rFonts w:cs="Arial"/>
        </w:rPr>
      </w:pPr>
    </w:p>
    <w:p w14:paraId="2823CD00" w14:textId="77777777" w:rsidR="004227CE" w:rsidRDefault="004227CE" w:rsidP="004227CE">
      <w:pPr>
        <w:tabs>
          <w:tab w:val="right" w:pos="9214"/>
          <w:tab w:val="right" w:leader="dot" w:pos="9356"/>
        </w:tabs>
        <w:ind w:right="-2"/>
        <w:rPr>
          <w:rFonts w:cs="Arial"/>
        </w:rPr>
      </w:pPr>
    </w:p>
    <w:p w14:paraId="007C522B" w14:textId="77777777" w:rsidR="004227CE" w:rsidRDefault="004227CE" w:rsidP="004227CE">
      <w:pPr>
        <w:tabs>
          <w:tab w:val="right" w:pos="9214"/>
          <w:tab w:val="right" w:leader="dot" w:pos="9356"/>
        </w:tabs>
        <w:ind w:right="-2"/>
        <w:rPr>
          <w:rFonts w:cs="Arial"/>
        </w:rPr>
      </w:pPr>
    </w:p>
    <w:p w14:paraId="3C68F4F1" w14:textId="77777777" w:rsidR="004227CE" w:rsidRDefault="004227CE" w:rsidP="004227CE">
      <w:pPr>
        <w:tabs>
          <w:tab w:val="right" w:pos="9214"/>
          <w:tab w:val="right" w:leader="dot" w:pos="9356"/>
        </w:tabs>
        <w:ind w:right="-2"/>
        <w:rPr>
          <w:rFonts w:cs="Arial"/>
        </w:rPr>
      </w:pPr>
    </w:p>
    <w:p w14:paraId="218999AB" w14:textId="77777777" w:rsidR="004227CE" w:rsidRDefault="004227CE" w:rsidP="004227CE">
      <w:pPr>
        <w:tabs>
          <w:tab w:val="right" w:pos="9214"/>
          <w:tab w:val="right" w:leader="dot" w:pos="9356"/>
        </w:tabs>
        <w:ind w:right="-2"/>
        <w:rPr>
          <w:rFonts w:cs="Arial"/>
        </w:rPr>
      </w:pPr>
    </w:p>
    <w:p w14:paraId="36D90B70" w14:textId="77777777" w:rsidR="004227CE" w:rsidRDefault="004227CE" w:rsidP="004227CE">
      <w:pPr>
        <w:tabs>
          <w:tab w:val="right" w:pos="9214"/>
          <w:tab w:val="right" w:leader="dot" w:pos="9356"/>
        </w:tabs>
        <w:ind w:right="-2"/>
        <w:rPr>
          <w:rFonts w:cs="Arial"/>
        </w:rPr>
      </w:pPr>
    </w:p>
    <w:p w14:paraId="3F98AB1E" w14:textId="77777777" w:rsidR="004227CE" w:rsidRDefault="004227CE" w:rsidP="004227CE">
      <w:pPr>
        <w:tabs>
          <w:tab w:val="right" w:pos="9214"/>
          <w:tab w:val="right" w:leader="dot" w:pos="9356"/>
        </w:tabs>
        <w:ind w:right="-2"/>
        <w:rPr>
          <w:rFonts w:cs="Arial"/>
        </w:rPr>
      </w:pPr>
    </w:p>
    <w:p w14:paraId="5EE97929" w14:textId="77777777" w:rsidR="004227CE" w:rsidRDefault="004227CE" w:rsidP="004227CE">
      <w:pPr>
        <w:tabs>
          <w:tab w:val="right" w:pos="9214"/>
          <w:tab w:val="right" w:leader="dot" w:pos="9356"/>
        </w:tabs>
        <w:ind w:right="-2"/>
        <w:rPr>
          <w:rFonts w:cs="Arial"/>
          <w:i/>
          <w:iCs/>
          <w:color w:val="009999"/>
          <w:sz w:val="20"/>
          <w:szCs w:val="20"/>
        </w:rPr>
      </w:pPr>
      <w:r>
        <w:rPr>
          <w:rFonts w:cs="Arial"/>
          <w:i/>
          <w:iCs/>
          <w:color w:val="009999"/>
          <w:sz w:val="20"/>
          <w:szCs w:val="20"/>
        </w:rPr>
        <w:t>This report takes into account the particular instructions and requirements of our client. It is not intended for and should not be relied upon by any third party and no responsibility is undertaken to any third party.</w:t>
      </w:r>
    </w:p>
    <w:p w14:paraId="3DD9FCE0" w14:textId="29087DDC" w:rsidR="004227CE" w:rsidRDefault="004227CE" w:rsidP="004227CE">
      <w:pPr>
        <w:tabs>
          <w:tab w:val="right" w:pos="9214"/>
          <w:tab w:val="right" w:leader="dot" w:pos="9356"/>
        </w:tabs>
        <w:ind w:right="-2"/>
        <w:rPr>
          <w:rFonts w:cs="Arial"/>
          <w:i/>
          <w:iCs/>
          <w:color w:val="009999"/>
          <w:sz w:val="20"/>
          <w:szCs w:val="20"/>
        </w:rPr>
      </w:pPr>
      <w:r w:rsidRPr="004B1CF8">
        <w:rPr>
          <w:rFonts w:cs="Arial"/>
          <w:i/>
          <w:iCs/>
          <w:color w:val="009999"/>
          <w:sz w:val="20"/>
          <w:szCs w:val="20"/>
        </w:rPr>
        <w:t>arc</w:t>
      </w:r>
      <w:r w:rsidRPr="00631CB3">
        <w:rPr>
          <w:rFonts w:cs="Arial"/>
          <w:i/>
          <w:iCs/>
          <w:color w:val="009999"/>
          <w:sz w:val="20"/>
          <w:szCs w:val="20"/>
          <w:vertAlign w:val="superscript"/>
        </w:rPr>
        <w:t>4</w:t>
      </w:r>
      <w:r w:rsidRPr="004B1CF8">
        <w:rPr>
          <w:rFonts w:cs="Arial"/>
          <w:i/>
          <w:iCs/>
          <w:color w:val="009999"/>
          <w:sz w:val="20"/>
          <w:szCs w:val="20"/>
          <w:vertAlign w:val="superscript"/>
        </w:rPr>
        <w:t xml:space="preserve"> </w:t>
      </w:r>
      <w:r w:rsidRPr="004B1CF8">
        <w:rPr>
          <w:rFonts w:cs="Arial"/>
          <w:i/>
          <w:iCs/>
          <w:color w:val="009999"/>
          <w:sz w:val="20"/>
          <w:szCs w:val="20"/>
        </w:rPr>
        <w:t xml:space="preserve">Limited accepts no responsibility or liability for, and makes no representation or warranty with respect to, </w:t>
      </w:r>
      <w:r w:rsidRPr="00E05649">
        <w:rPr>
          <w:rFonts w:cs="Arial"/>
          <w:i/>
          <w:iCs/>
          <w:color w:val="009999"/>
          <w:sz w:val="20"/>
          <w:szCs w:val="20"/>
        </w:rPr>
        <w:t>the</w:t>
      </w:r>
      <w:r w:rsidRPr="004B1CF8">
        <w:rPr>
          <w:rFonts w:cs="Arial"/>
          <w:i/>
          <w:iCs/>
          <w:color w:val="009999"/>
          <w:sz w:val="20"/>
          <w:szCs w:val="20"/>
        </w:rPr>
        <w:t xml:space="preserve"> accuracy or completeness of any third party information (including data) that is contained in this document.</w:t>
      </w:r>
    </w:p>
    <w:p w14:paraId="45D11BE4" w14:textId="0870BCF5" w:rsidR="00F03225" w:rsidRDefault="00F03225" w:rsidP="004227CE">
      <w:pPr>
        <w:tabs>
          <w:tab w:val="right" w:pos="9214"/>
          <w:tab w:val="right" w:leader="dot" w:pos="9356"/>
        </w:tabs>
        <w:ind w:right="-2"/>
        <w:rPr>
          <w:color w:val="009999"/>
        </w:rPr>
      </w:pPr>
    </w:p>
    <w:p w14:paraId="680DAD69" w14:textId="77777777" w:rsidR="00F03225" w:rsidRDefault="00F03225" w:rsidP="004227CE">
      <w:pPr>
        <w:tabs>
          <w:tab w:val="right" w:pos="9214"/>
          <w:tab w:val="right" w:leader="dot" w:pos="9356"/>
        </w:tabs>
        <w:ind w:right="-2"/>
        <w:rPr>
          <w:color w:val="009999"/>
        </w:rPr>
      </w:pPr>
    </w:p>
    <w:p w14:paraId="34D89D09" w14:textId="77777777" w:rsidR="00F03225" w:rsidRPr="00F03225" w:rsidRDefault="00F03225" w:rsidP="00F03225">
      <w:pPr>
        <w:tabs>
          <w:tab w:val="right" w:pos="9214"/>
          <w:tab w:val="right" w:leader="dot" w:pos="9356"/>
        </w:tabs>
        <w:spacing w:before="0" w:after="0"/>
        <w:jc w:val="center"/>
        <w:rPr>
          <w:rFonts w:asciiTheme="minorHAnsi" w:hAnsiTheme="minorHAnsi" w:cs="Arial"/>
          <w:i/>
          <w:iCs/>
          <w:color w:val="009999"/>
          <w:sz w:val="18"/>
          <w:szCs w:val="20"/>
        </w:rPr>
      </w:pPr>
      <w:r w:rsidRPr="00F03225">
        <w:rPr>
          <w:rFonts w:asciiTheme="minorHAnsi" w:hAnsiTheme="minorHAnsi" w:cs="Arial"/>
          <w:i/>
          <w:iCs/>
          <w:color w:val="009999"/>
          <w:sz w:val="18"/>
          <w:szCs w:val="20"/>
        </w:rPr>
        <w:t>Registered Address: arc4, 41 Clarendon Road, Sale Manchester M33 2DY</w:t>
      </w:r>
    </w:p>
    <w:p w14:paraId="750D24A7" w14:textId="77777777" w:rsidR="00F03225" w:rsidRPr="00F03225" w:rsidRDefault="00F03225" w:rsidP="00F03225">
      <w:pPr>
        <w:tabs>
          <w:tab w:val="right" w:pos="9214"/>
          <w:tab w:val="right" w:leader="dot" w:pos="9356"/>
        </w:tabs>
        <w:spacing w:before="0" w:after="0"/>
        <w:jc w:val="center"/>
        <w:rPr>
          <w:rFonts w:asciiTheme="minorHAnsi" w:hAnsiTheme="minorHAnsi" w:cs="Arial"/>
          <w:i/>
          <w:iCs/>
          <w:color w:val="009999"/>
          <w:sz w:val="18"/>
          <w:szCs w:val="20"/>
        </w:rPr>
      </w:pPr>
      <w:r w:rsidRPr="00F03225">
        <w:rPr>
          <w:rFonts w:asciiTheme="minorHAnsi" w:hAnsiTheme="minorHAnsi" w:cs="Arial"/>
          <w:i/>
          <w:iCs/>
          <w:color w:val="009999"/>
          <w:sz w:val="18"/>
          <w:szCs w:val="20"/>
        </w:rPr>
        <w:t>Email:</w:t>
      </w:r>
      <w:hyperlink r:id="rId16" w:history="1">
        <w:r w:rsidRPr="00F03225">
          <w:rPr>
            <w:rFonts w:asciiTheme="minorHAnsi" w:hAnsiTheme="minorHAnsi"/>
            <w:i/>
            <w:iCs/>
            <w:color w:val="009999"/>
            <w:sz w:val="18"/>
            <w:szCs w:val="20"/>
          </w:rPr>
          <w:t>contact@arc4.co.uk</w:t>
        </w:r>
      </w:hyperlink>
      <w:hyperlink r:id="rId17" w:history="1">
        <w:r w:rsidRPr="00F03225">
          <w:rPr>
            <w:rStyle w:val="Hyperlink"/>
            <w:rFonts w:asciiTheme="minorHAnsi" w:hAnsiTheme="minorHAnsi"/>
            <w:i/>
            <w:iCs/>
            <w:sz w:val="18"/>
            <w:szCs w:val="20"/>
          </w:rPr>
          <w:t>www.arc4.co.uk</w:t>
        </w:r>
      </w:hyperlink>
    </w:p>
    <w:p w14:paraId="14441853" w14:textId="77777777" w:rsidR="00F03225" w:rsidRPr="00F03225" w:rsidRDefault="00F03225" w:rsidP="00F03225">
      <w:pPr>
        <w:tabs>
          <w:tab w:val="right" w:pos="9214"/>
          <w:tab w:val="right" w:leader="dot" w:pos="9356"/>
        </w:tabs>
        <w:spacing w:before="0" w:after="0"/>
        <w:jc w:val="center"/>
        <w:rPr>
          <w:rFonts w:asciiTheme="minorHAnsi" w:hAnsiTheme="minorHAnsi" w:cs="Arial"/>
          <w:i/>
          <w:iCs/>
          <w:color w:val="009999"/>
          <w:sz w:val="18"/>
          <w:szCs w:val="20"/>
        </w:rPr>
      </w:pPr>
      <w:r w:rsidRPr="00F03225">
        <w:rPr>
          <w:rFonts w:asciiTheme="minorHAnsi" w:hAnsiTheme="minorHAnsi" w:cs="Arial"/>
          <w:i/>
          <w:iCs/>
          <w:color w:val="009999"/>
          <w:sz w:val="18"/>
          <w:szCs w:val="20"/>
        </w:rPr>
        <w:t>arc4  Limited Registered in England &amp; Wales 6205180   VAT Registration No:  909 9814 77</w:t>
      </w:r>
    </w:p>
    <w:p w14:paraId="4CA83C07" w14:textId="492E188D" w:rsidR="00F03225" w:rsidRPr="00F03225" w:rsidRDefault="00F03225" w:rsidP="00F03225">
      <w:pPr>
        <w:tabs>
          <w:tab w:val="right" w:pos="9214"/>
          <w:tab w:val="right" w:leader="dot" w:pos="9356"/>
        </w:tabs>
        <w:spacing w:before="0" w:after="0"/>
        <w:jc w:val="center"/>
        <w:rPr>
          <w:rFonts w:asciiTheme="minorHAnsi" w:hAnsiTheme="minorHAnsi" w:cs="Arial"/>
          <w:i/>
          <w:iCs/>
          <w:color w:val="009999"/>
          <w:sz w:val="18"/>
          <w:szCs w:val="20"/>
        </w:rPr>
      </w:pPr>
      <w:r w:rsidRPr="00F03225">
        <w:rPr>
          <w:rFonts w:asciiTheme="minorHAnsi" w:hAnsiTheme="minorHAnsi" w:cs="Arial"/>
          <w:i/>
          <w:iCs/>
          <w:color w:val="009999"/>
          <w:sz w:val="18"/>
          <w:szCs w:val="20"/>
        </w:rPr>
        <w:t>Directors - Helen Brzozowski – Michael Bullock</w:t>
      </w:r>
    </w:p>
    <w:p w14:paraId="2F4BFD72" w14:textId="6EC6F530" w:rsidR="0031285F" w:rsidRPr="00AB6B62" w:rsidRDefault="004227CE" w:rsidP="004227CE">
      <w:pPr>
        <w:pStyle w:val="TOCHeading1"/>
      </w:pPr>
      <w:r w:rsidRPr="00C51FDE">
        <w:rPr>
          <w:i/>
          <w:iCs/>
          <w:sz w:val="32"/>
          <w:szCs w:val="32"/>
        </w:rPr>
        <w:br w:type="page"/>
      </w:r>
      <w:r w:rsidR="0031285F">
        <w:lastRenderedPageBreak/>
        <w:t xml:space="preserve">Table of </w:t>
      </w:r>
      <w:r w:rsidR="0031285F" w:rsidRPr="00631CB3">
        <w:t>Contents</w:t>
      </w:r>
    </w:p>
    <w:bookmarkStart w:id="2" w:name="_Toc99359406"/>
    <w:p w14:paraId="2B0063BC" w14:textId="3480A1E3" w:rsidR="005A69ED" w:rsidRDefault="008F4DB3">
      <w:pPr>
        <w:pStyle w:val="TOC1"/>
        <w:rPr>
          <w:rFonts w:asciiTheme="minorHAnsi" w:eastAsiaTheme="minorEastAsia" w:hAnsiTheme="minorHAnsi" w:cstheme="minorBidi"/>
          <w:bCs w:val="0"/>
        </w:rPr>
      </w:pPr>
      <w:r>
        <w:fldChar w:fldCharType="begin"/>
      </w:r>
      <w:r>
        <w:instrText xml:space="preserve"> TOC \o "1-2" \h \z \u </w:instrText>
      </w:r>
      <w:r>
        <w:fldChar w:fldCharType="separate"/>
      </w:r>
      <w:hyperlink w:anchor="_Toc13845452" w:history="1">
        <w:r w:rsidR="005A69ED" w:rsidRPr="008722B9">
          <w:rPr>
            <w:rStyle w:val="Hyperlink"/>
          </w:rPr>
          <w:t>Executive Summary</w:t>
        </w:r>
        <w:r w:rsidR="005A69ED">
          <w:rPr>
            <w:webHidden/>
          </w:rPr>
          <w:tab/>
        </w:r>
        <w:r w:rsidR="005A69ED">
          <w:rPr>
            <w:webHidden/>
          </w:rPr>
          <w:fldChar w:fldCharType="begin"/>
        </w:r>
        <w:r w:rsidR="005A69ED">
          <w:rPr>
            <w:webHidden/>
          </w:rPr>
          <w:instrText xml:space="preserve"> PAGEREF _Toc13845452 \h </w:instrText>
        </w:r>
        <w:r w:rsidR="005A69ED">
          <w:rPr>
            <w:webHidden/>
          </w:rPr>
        </w:r>
        <w:r w:rsidR="005A69ED">
          <w:rPr>
            <w:webHidden/>
          </w:rPr>
          <w:fldChar w:fldCharType="separate"/>
        </w:r>
        <w:r w:rsidR="005A69ED">
          <w:rPr>
            <w:webHidden/>
          </w:rPr>
          <w:t>6</w:t>
        </w:r>
        <w:r w:rsidR="005A69ED">
          <w:rPr>
            <w:webHidden/>
          </w:rPr>
          <w:fldChar w:fldCharType="end"/>
        </w:r>
      </w:hyperlink>
    </w:p>
    <w:p w14:paraId="48FEF9B0" w14:textId="058D94DE" w:rsidR="005A69ED" w:rsidRDefault="004224E8">
      <w:pPr>
        <w:pStyle w:val="TOC2"/>
        <w:rPr>
          <w:rFonts w:asciiTheme="minorHAnsi" w:eastAsiaTheme="minorEastAsia" w:hAnsiTheme="minorHAnsi" w:cstheme="minorBidi"/>
          <w:bCs w:val="0"/>
          <w:szCs w:val="24"/>
        </w:rPr>
      </w:pPr>
      <w:hyperlink w:anchor="_Toc13845453" w:history="1">
        <w:r w:rsidR="005A69ED" w:rsidRPr="008722B9">
          <w:rPr>
            <w:rStyle w:val="Hyperlink"/>
          </w:rPr>
          <w:t>Introduction</w:t>
        </w:r>
        <w:r w:rsidR="005A69ED">
          <w:rPr>
            <w:webHidden/>
          </w:rPr>
          <w:tab/>
        </w:r>
        <w:r w:rsidR="005A69ED">
          <w:rPr>
            <w:webHidden/>
          </w:rPr>
          <w:fldChar w:fldCharType="begin"/>
        </w:r>
        <w:r w:rsidR="005A69ED">
          <w:rPr>
            <w:webHidden/>
          </w:rPr>
          <w:instrText xml:space="preserve"> PAGEREF _Toc13845453 \h </w:instrText>
        </w:r>
        <w:r w:rsidR="005A69ED">
          <w:rPr>
            <w:webHidden/>
          </w:rPr>
        </w:r>
        <w:r w:rsidR="005A69ED">
          <w:rPr>
            <w:webHidden/>
          </w:rPr>
          <w:fldChar w:fldCharType="separate"/>
        </w:r>
        <w:r w:rsidR="005A69ED">
          <w:rPr>
            <w:webHidden/>
          </w:rPr>
          <w:t>6</w:t>
        </w:r>
        <w:r w:rsidR="005A69ED">
          <w:rPr>
            <w:webHidden/>
          </w:rPr>
          <w:fldChar w:fldCharType="end"/>
        </w:r>
      </w:hyperlink>
    </w:p>
    <w:p w14:paraId="78BDBF55" w14:textId="602D98D8" w:rsidR="005A69ED" w:rsidRDefault="004224E8">
      <w:pPr>
        <w:pStyle w:val="TOC2"/>
        <w:rPr>
          <w:rFonts w:asciiTheme="minorHAnsi" w:eastAsiaTheme="minorEastAsia" w:hAnsiTheme="minorHAnsi" w:cstheme="minorBidi"/>
          <w:bCs w:val="0"/>
          <w:szCs w:val="24"/>
        </w:rPr>
      </w:pPr>
      <w:hyperlink w:anchor="_Toc13845454" w:history="1">
        <w:r w:rsidR="005A69ED" w:rsidRPr="008722B9">
          <w:rPr>
            <w:rStyle w:val="Hyperlink"/>
          </w:rPr>
          <w:t>Current provision and activity</w:t>
        </w:r>
        <w:r w:rsidR="005A69ED">
          <w:rPr>
            <w:webHidden/>
          </w:rPr>
          <w:tab/>
        </w:r>
        <w:r w:rsidR="005A69ED">
          <w:rPr>
            <w:webHidden/>
          </w:rPr>
          <w:fldChar w:fldCharType="begin"/>
        </w:r>
        <w:r w:rsidR="005A69ED">
          <w:rPr>
            <w:webHidden/>
          </w:rPr>
          <w:instrText xml:space="preserve"> PAGEREF _Toc13845454 \h </w:instrText>
        </w:r>
        <w:r w:rsidR="005A69ED">
          <w:rPr>
            <w:webHidden/>
          </w:rPr>
        </w:r>
        <w:r w:rsidR="005A69ED">
          <w:rPr>
            <w:webHidden/>
          </w:rPr>
          <w:fldChar w:fldCharType="separate"/>
        </w:r>
        <w:r w:rsidR="005A69ED">
          <w:rPr>
            <w:webHidden/>
          </w:rPr>
          <w:t>6</w:t>
        </w:r>
        <w:r w:rsidR="005A69ED">
          <w:rPr>
            <w:webHidden/>
          </w:rPr>
          <w:fldChar w:fldCharType="end"/>
        </w:r>
      </w:hyperlink>
    </w:p>
    <w:p w14:paraId="22621D63" w14:textId="2EF85386" w:rsidR="005A69ED" w:rsidRDefault="004224E8">
      <w:pPr>
        <w:pStyle w:val="TOC2"/>
        <w:rPr>
          <w:rFonts w:asciiTheme="minorHAnsi" w:eastAsiaTheme="minorEastAsia" w:hAnsiTheme="minorHAnsi" w:cstheme="minorBidi"/>
          <w:bCs w:val="0"/>
          <w:szCs w:val="24"/>
        </w:rPr>
      </w:pPr>
      <w:hyperlink w:anchor="_Toc13845455" w:history="1">
        <w:r w:rsidR="005A69ED" w:rsidRPr="008722B9">
          <w:rPr>
            <w:rStyle w:val="Hyperlink"/>
          </w:rPr>
          <w:t>Planning policy requirements for needs assessments</w:t>
        </w:r>
        <w:r w:rsidR="005A69ED">
          <w:rPr>
            <w:webHidden/>
          </w:rPr>
          <w:tab/>
        </w:r>
        <w:r w:rsidR="005A69ED">
          <w:rPr>
            <w:webHidden/>
          </w:rPr>
          <w:fldChar w:fldCharType="begin"/>
        </w:r>
        <w:r w:rsidR="005A69ED">
          <w:rPr>
            <w:webHidden/>
          </w:rPr>
          <w:instrText xml:space="preserve"> PAGEREF _Toc13845455 \h </w:instrText>
        </w:r>
        <w:r w:rsidR="005A69ED">
          <w:rPr>
            <w:webHidden/>
          </w:rPr>
        </w:r>
        <w:r w:rsidR="005A69ED">
          <w:rPr>
            <w:webHidden/>
          </w:rPr>
          <w:fldChar w:fldCharType="separate"/>
        </w:r>
        <w:r w:rsidR="005A69ED">
          <w:rPr>
            <w:webHidden/>
          </w:rPr>
          <w:t>6</w:t>
        </w:r>
        <w:r w:rsidR="005A69ED">
          <w:rPr>
            <w:webHidden/>
          </w:rPr>
          <w:fldChar w:fldCharType="end"/>
        </w:r>
      </w:hyperlink>
    </w:p>
    <w:p w14:paraId="290E1C08" w14:textId="65FCC544" w:rsidR="005A69ED" w:rsidRDefault="004224E8">
      <w:pPr>
        <w:pStyle w:val="TOC2"/>
        <w:rPr>
          <w:rFonts w:asciiTheme="minorHAnsi" w:eastAsiaTheme="minorEastAsia" w:hAnsiTheme="minorHAnsi" w:cstheme="minorBidi"/>
          <w:bCs w:val="0"/>
          <w:szCs w:val="24"/>
        </w:rPr>
      </w:pPr>
      <w:hyperlink w:anchor="_Toc13845456" w:history="1">
        <w:r w:rsidR="005A69ED" w:rsidRPr="008722B9">
          <w:rPr>
            <w:rStyle w:val="Hyperlink"/>
          </w:rPr>
          <w:t>Gypsy and Traveller pitch requirements</w:t>
        </w:r>
        <w:r w:rsidR="005A69ED">
          <w:rPr>
            <w:webHidden/>
          </w:rPr>
          <w:tab/>
        </w:r>
        <w:r w:rsidR="005A69ED">
          <w:rPr>
            <w:webHidden/>
          </w:rPr>
          <w:fldChar w:fldCharType="begin"/>
        </w:r>
        <w:r w:rsidR="005A69ED">
          <w:rPr>
            <w:webHidden/>
          </w:rPr>
          <w:instrText xml:space="preserve"> PAGEREF _Toc13845456 \h </w:instrText>
        </w:r>
        <w:r w:rsidR="005A69ED">
          <w:rPr>
            <w:webHidden/>
          </w:rPr>
        </w:r>
        <w:r w:rsidR="005A69ED">
          <w:rPr>
            <w:webHidden/>
          </w:rPr>
          <w:fldChar w:fldCharType="separate"/>
        </w:r>
        <w:r w:rsidR="005A69ED">
          <w:rPr>
            <w:webHidden/>
          </w:rPr>
          <w:t>7</w:t>
        </w:r>
        <w:r w:rsidR="005A69ED">
          <w:rPr>
            <w:webHidden/>
          </w:rPr>
          <w:fldChar w:fldCharType="end"/>
        </w:r>
      </w:hyperlink>
    </w:p>
    <w:p w14:paraId="1D563A2C" w14:textId="0DE4213C" w:rsidR="005A69ED" w:rsidRDefault="004224E8">
      <w:pPr>
        <w:pStyle w:val="TOC2"/>
        <w:rPr>
          <w:rFonts w:asciiTheme="minorHAnsi" w:eastAsiaTheme="minorEastAsia" w:hAnsiTheme="minorHAnsi" w:cstheme="minorBidi"/>
          <w:bCs w:val="0"/>
          <w:szCs w:val="24"/>
        </w:rPr>
      </w:pPr>
      <w:hyperlink w:anchor="_Toc13845457" w:history="1">
        <w:r w:rsidR="005A69ED" w:rsidRPr="008722B9">
          <w:rPr>
            <w:rStyle w:val="Hyperlink"/>
          </w:rPr>
          <w:t>Travelling Showperson plot requirements</w:t>
        </w:r>
        <w:r w:rsidR="005A69ED">
          <w:rPr>
            <w:webHidden/>
          </w:rPr>
          <w:tab/>
        </w:r>
        <w:r w:rsidR="005A69ED">
          <w:rPr>
            <w:webHidden/>
          </w:rPr>
          <w:fldChar w:fldCharType="begin"/>
        </w:r>
        <w:r w:rsidR="005A69ED">
          <w:rPr>
            <w:webHidden/>
          </w:rPr>
          <w:instrText xml:space="preserve"> PAGEREF _Toc13845457 \h </w:instrText>
        </w:r>
        <w:r w:rsidR="005A69ED">
          <w:rPr>
            <w:webHidden/>
          </w:rPr>
        </w:r>
        <w:r w:rsidR="005A69ED">
          <w:rPr>
            <w:webHidden/>
          </w:rPr>
          <w:fldChar w:fldCharType="separate"/>
        </w:r>
        <w:r w:rsidR="005A69ED">
          <w:rPr>
            <w:webHidden/>
          </w:rPr>
          <w:t>8</w:t>
        </w:r>
        <w:r w:rsidR="005A69ED">
          <w:rPr>
            <w:webHidden/>
          </w:rPr>
          <w:fldChar w:fldCharType="end"/>
        </w:r>
      </w:hyperlink>
    </w:p>
    <w:p w14:paraId="1002669B" w14:textId="65C4259F" w:rsidR="005A69ED" w:rsidRDefault="004224E8">
      <w:pPr>
        <w:pStyle w:val="TOC2"/>
        <w:rPr>
          <w:rFonts w:asciiTheme="minorHAnsi" w:eastAsiaTheme="minorEastAsia" w:hAnsiTheme="minorHAnsi" w:cstheme="minorBidi"/>
          <w:bCs w:val="0"/>
          <w:szCs w:val="24"/>
        </w:rPr>
      </w:pPr>
      <w:hyperlink w:anchor="_Toc13845458" w:history="1">
        <w:r w:rsidR="005A69ED" w:rsidRPr="008722B9">
          <w:rPr>
            <w:rStyle w:val="Hyperlink"/>
          </w:rPr>
          <w:t>Meeting transit site/stop over requirements</w:t>
        </w:r>
        <w:r w:rsidR="005A69ED">
          <w:rPr>
            <w:webHidden/>
          </w:rPr>
          <w:tab/>
        </w:r>
        <w:r w:rsidR="005A69ED">
          <w:rPr>
            <w:webHidden/>
          </w:rPr>
          <w:fldChar w:fldCharType="begin"/>
        </w:r>
        <w:r w:rsidR="005A69ED">
          <w:rPr>
            <w:webHidden/>
          </w:rPr>
          <w:instrText xml:space="preserve"> PAGEREF _Toc13845458 \h </w:instrText>
        </w:r>
        <w:r w:rsidR="005A69ED">
          <w:rPr>
            <w:webHidden/>
          </w:rPr>
        </w:r>
        <w:r w:rsidR="005A69ED">
          <w:rPr>
            <w:webHidden/>
          </w:rPr>
          <w:fldChar w:fldCharType="separate"/>
        </w:r>
        <w:r w:rsidR="005A69ED">
          <w:rPr>
            <w:webHidden/>
          </w:rPr>
          <w:t>8</w:t>
        </w:r>
        <w:r w:rsidR="005A69ED">
          <w:rPr>
            <w:webHidden/>
          </w:rPr>
          <w:fldChar w:fldCharType="end"/>
        </w:r>
      </w:hyperlink>
    </w:p>
    <w:p w14:paraId="4726F9C3" w14:textId="1FAA698D" w:rsidR="005A69ED" w:rsidRDefault="004224E8">
      <w:pPr>
        <w:pStyle w:val="TOC2"/>
        <w:rPr>
          <w:rFonts w:asciiTheme="minorHAnsi" w:eastAsiaTheme="minorEastAsia" w:hAnsiTheme="minorHAnsi" w:cstheme="minorBidi"/>
          <w:bCs w:val="0"/>
          <w:szCs w:val="24"/>
        </w:rPr>
      </w:pPr>
      <w:hyperlink w:anchor="_Toc13845459" w:history="1">
        <w:r w:rsidR="005A69ED" w:rsidRPr="008722B9">
          <w:rPr>
            <w:rStyle w:val="Hyperlink"/>
          </w:rPr>
          <w:t>Houseboat need</w:t>
        </w:r>
        <w:r w:rsidR="005A69ED">
          <w:rPr>
            <w:webHidden/>
          </w:rPr>
          <w:tab/>
        </w:r>
        <w:r w:rsidR="005A69ED">
          <w:rPr>
            <w:webHidden/>
          </w:rPr>
          <w:fldChar w:fldCharType="begin"/>
        </w:r>
        <w:r w:rsidR="005A69ED">
          <w:rPr>
            <w:webHidden/>
          </w:rPr>
          <w:instrText xml:space="preserve"> PAGEREF _Toc13845459 \h </w:instrText>
        </w:r>
        <w:r w:rsidR="005A69ED">
          <w:rPr>
            <w:webHidden/>
          </w:rPr>
        </w:r>
        <w:r w:rsidR="005A69ED">
          <w:rPr>
            <w:webHidden/>
          </w:rPr>
          <w:fldChar w:fldCharType="separate"/>
        </w:r>
        <w:r w:rsidR="005A69ED">
          <w:rPr>
            <w:webHidden/>
          </w:rPr>
          <w:t>8</w:t>
        </w:r>
        <w:r w:rsidR="005A69ED">
          <w:rPr>
            <w:webHidden/>
          </w:rPr>
          <w:fldChar w:fldCharType="end"/>
        </w:r>
      </w:hyperlink>
    </w:p>
    <w:p w14:paraId="3D48832F" w14:textId="101DA44E" w:rsidR="005A69ED" w:rsidRDefault="004224E8">
      <w:pPr>
        <w:pStyle w:val="TOC1"/>
        <w:rPr>
          <w:rFonts w:asciiTheme="minorHAnsi" w:eastAsiaTheme="minorEastAsia" w:hAnsiTheme="minorHAnsi" w:cstheme="minorBidi"/>
          <w:bCs w:val="0"/>
        </w:rPr>
      </w:pPr>
      <w:hyperlink w:anchor="_Toc13845460" w:history="1">
        <w:r w:rsidR="005A69ED" w:rsidRPr="008722B9">
          <w:rPr>
            <w:rStyle w:val="Hyperlink"/>
          </w:rPr>
          <w:t>1.</w:t>
        </w:r>
        <w:r w:rsidR="005A69ED">
          <w:rPr>
            <w:rFonts w:asciiTheme="minorHAnsi" w:eastAsiaTheme="minorEastAsia" w:hAnsiTheme="minorHAnsi" w:cstheme="minorBidi"/>
            <w:bCs w:val="0"/>
          </w:rPr>
          <w:tab/>
        </w:r>
        <w:r w:rsidR="005A69ED" w:rsidRPr="008722B9">
          <w:rPr>
            <w:rStyle w:val="Hyperlink"/>
          </w:rPr>
          <w:t>Introduction</w:t>
        </w:r>
        <w:r w:rsidR="005A69ED">
          <w:rPr>
            <w:webHidden/>
          </w:rPr>
          <w:tab/>
        </w:r>
        <w:r w:rsidR="005A69ED">
          <w:rPr>
            <w:webHidden/>
          </w:rPr>
          <w:fldChar w:fldCharType="begin"/>
        </w:r>
        <w:r w:rsidR="005A69ED">
          <w:rPr>
            <w:webHidden/>
          </w:rPr>
          <w:instrText xml:space="preserve"> PAGEREF _Toc13845460 \h </w:instrText>
        </w:r>
        <w:r w:rsidR="005A69ED">
          <w:rPr>
            <w:webHidden/>
          </w:rPr>
        </w:r>
        <w:r w:rsidR="005A69ED">
          <w:rPr>
            <w:webHidden/>
          </w:rPr>
          <w:fldChar w:fldCharType="separate"/>
        </w:r>
        <w:r w:rsidR="005A69ED">
          <w:rPr>
            <w:webHidden/>
          </w:rPr>
          <w:t>9</w:t>
        </w:r>
        <w:r w:rsidR="005A69ED">
          <w:rPr>
            <w:webHidden/>
          </w:rPr>
          <w:fldChar w:fldCharType="end"/>
        </w:r>
      </w:hyperlink>
    </w:p>
    <w:p w14:paraId="21DD77A5" w14:textId="4DE01EEE" w:rsidR="005A69ED" w:rsidRDefault="004224E8">
      <w:pPr>
        <w:pStyle w:val="TOC2"/>
        <w:rPr>
          <w:rFonts w:asciiTheme="minorHAnsi" w:eastAsiaTheme="minorEastAsia" w:hAnsiTheme="minorHAnsi" w:cstheme="minorBidi"/>
          <w:bCs w:val="0"/>
          <w:szCs w:val="24"/>
        </w:rPr>
      </w:pPr>
      <w:hyperlink w:anchor="_Toc13845461" w:history="1">
        <w:r w:rsidR="005A69ED" w:rsidRPr="008722B9">
          <w:rPr>
            <w:rStyle w:val="Hyperlink"/>
          </w:rPr>
          <w:t>GTAA 2019 aims</w:t>
        </w:r>
        <w:r w:rsidR="005A69ED">
          <w:rPr>
            <w:webHidden/>
          </w:rPr>
          <w:tab/>
        </w:r>
        <w:r w:rsidR="005A69ED">
          <w:rPr>
            <w:webHidden/>
          </w:rPr>
          <w:fldChar w:fldCharType="begin"/>
        </w:r>
        <w:r w:rsidR="005A69ED">
          <w:rPr>
            <w:webHidden/>
          </w:rPr>
          <w:instrText xml:space="preserve"> PAGEREF _Toc13845461 \h </w:instrText>
        </w:r>
        <w:r w:rsidR="005A69ED">
          <w:rPr>
            <w:webHidden/>
          </w:rPr>
        </w:r>
        <w:r w:rsidR="005A69ED">
          <w:rPr>
            <w:webHidden/>
          </w:rPr>
          <w:fldChar w:fldCharType="separate"/>
        </w:r>
        <w:r w:rsidR="005A69ED">
          <w:rPr>
            <w:webHidden/>
          </w:rPr>
          <w:t>9</w:t>
        </w:r>
        <w:r w:rsidR="005A69ED">
          <w:rPr>
            <w:webHidden/>
          </w:rPr>
          <w:fldChar w:fldCharType="end"/>
        </w:r>
      </w:hyperlink>
    </w:p>
    <w:p w14:paraId="4843B90D" w14:textId="7335A59F" w:rsidR="005A69ED" w:rsidRDefault="004224E8">
      <w:pPr>
        <w:pStyle w:val="TOC2"/>
        <w:rPr>
          <w:rFonts w:asciiTheme="minorHAnsi" w:eastAsiaTheme="minorEastAsia" w:hAnsiTheme="minorHAnsi" w:cstheme="minorBidi"/>
          <w:bCs w:val="0"/>
          <w:szCs w:val="24"/>
        </w:rPr>
      </w:pPr>
      <w:hyperlink w:anchor="_Toc13845462" w:history="1">
        <w:r w:rsidR="005A69ED" w:rsidRPr="008722B9">
          <w:rPr>
            <w:rStyle w:val="Hyperlink"/>
          </w:rPr>
          <w:t>Who the study covers</w:t>
        </w:r>
        <w:r w:rsidR="005A69ED">
          <w:rPr>
            <w:webHidden/>
          </w:rPr>
          <w:tab/>
        </w:r>
        <w:r w:rsidR="005A69ED">
          <w:rPr>
            <w:webHidden/>
          </w:rPr>
          <w:fldChar w:fldCharType="begin"/>
        </w:r>
        <w:r w:rsidR="005A69ED">
          <w:rPr>
            <w:webHidden/>
          </w:rPr>
          <w:instrText xml:space="preserve"> PAGEREF _Toc13845462 \h </w:instrText>
        </w:r>
        <w:r w:rsidR="005A69ED">
          <w:rPr>
            <w:webHidden/>
          </w:rPr>
        </w:r>
        <w:r w:rsidR="005A69ED">
          <w:rPr>
            <w:webHidden/>
          </w:rPr>
          <w:fldChar w:fldCharType="separate"/>
        </w:r>
        <w:r w:rsidR="005A69ED">
          <w:rPr>
            <w:webHidden/>
          </w:rPr>
          <w:t>9</w:t>
        </w:r>
        <w:r w:rsidR="005A69ED">
          <w:rPr>
            <w:webHidden/>
          </w:rPr>
          <w:fldChar w:fldCharType="end"/>
        </w:r>
      </w:hyperlink>
    </w:p>
    <w:p w14:paraId="691F05D5" w14:textId="0305ABDF" w:rsidR="005A69ED" w:rsidRDefault="004224E8">
      <w:pPr>
        <w:pStyle w:val="TOC2"/>
        <w:rPr>
          <w:rFonts w:asciiTheme="minorHAnsi" w:eastAsiaTheme="minorEastAsia" w:hAnsiTheme="minorHAnsi" w:cstheme="minorBidi"/>
          <w:bCs w:val="0"/>
          <w:szCs w:val="24"/>
        </w:rPr>
      </w:pPr>
      <w:hyperlink w:anchor="_Toc13845463" w:history="1">
        <w:r w:rsidR="005A69ED" w:rsidRPr="008722B9">
          <w:rPr>
            <w:rStyle w:val="Hyperlink"/>
          </w:rPr>
          <w:t>Report structure</w:t>
        </w:r>
        <w:r w:rsidR="005A69ED">
          <w:rPr>
            <w:webHidden/>
          </w:rPr>
          <w:tab/>
        </w:r>
        <w:r w:rsidR="005A69ED">
          <w:rPr>
            <w:webHidden/>
          </w:rPr>
          <w:fldChar w:fldCharType="begin"/>
        </w:r>
        <w:r w:rsidR="005A69ED">
          <w:rPr>
            <w:webHidden/>
          </w:rPr>
          <w:instrText xml:space="preserve"> PAGEREF _Toc13845463 \h </w:instrText>
        </w:r>
        <w:r w:rsidR="005A69ED">
          <w:rPr>
            <w:webHidden/>
          </w:rPr>
        </w:r>
        <w:r w:rsidR="005A69ED">
          <w:rPr>
            <w:webHidden/>
          </w:rPr>
          <w:fldChar w:fldCharType="separate"/>
        </w:r>
        <w:r w:rsidR="005A69ED">
          <w:rPr>
            <w:webHidden/>
          </w:rPr>
          <w:t>10</w:t>
        </w:r>
        <w:r w:rsidR="005A69ED">
          <w:rPr>
            <w:webHidden/>
          </w:rPr>
          <w:fldChar w:fldCharType="end"/>
        </w:r>
      </w:hyperlink>
    </w:p>
    <w:p w14:paraId="662F9B9C" w14:textId="6B5C4A42" w:rsidR="005A69ED" w:rsidRDefault="004224E8">
      <w:pPr>
        <w:pStyle w:val="TOC1"/>
        <w:rPr>
          <w:rFonts w:asciiTheme="minorHAnsi" w:eastAsiaTheme="minorEastAsia" w:hAnsiTheme="minorHAnsi" w:cstheme="minorBidi"/>
          <w:bCs w:val="0"/>
        </w:rPr>
      </w:pPr>
      <w:hyperlink w:anchor="_Toc13845464" w:history="1">
        <w:r w:rsidR="005A69ED" w:rsidRPr="008722B9">
          <w:rPr>
            <w:rStyle w:val="Hyperlink"/>
          </w:rPr>
          <w:t>2.</w:t>
        </w:r>
        <w:r w:rsidR="005A69ED">
          <w:rPr>
            <w:rFonts w:asciiTheme="minorHAnsi" w:eastAsiaTheme="minorEastAsia" w:hAnsiTheme="minorHAnsi" w:cstheme="minorBidi"/>
            <w:bCs w:val="0"/>
          </w:rPr>
          <w:tab/>
        </w:r>
        <w:r w:rsidR="005A69ED" w:rsidRPr="008722B9">
          <w:rPr>
            <w:rStyle w:val="Hyperlink"/>
          </w:rPr>
          <w:t>Policy and local context</w:t>
        </w:r>
        <w:r w:rsidR="005A69ED">
          <w:rPr>
            <w:webHidden/>
          </w:rPr>
          <w:tab/>
        </w:r>
        <w:r w:rsidR="005A69ED">
          <w:rPr>
            <w:webHidden/>
          </w:rPr>
          <w:fldChar w:fldCharType="begin"/>
        </w:r>
        <w:r w:rsidR="005A69ED">
          <w:rPr>
            <w:webHidden/>
          </w:rPr>
          <w:instrText xml:space="preserve"> PAGEREF _Toc13845464 \h </w:instrText>
        </w:r>
        <w:r w:rsidR="005A69ED">
          <w:rPr>
            <w:webHidden/>
          </w:rPr>
        </w:r>
        <w:r w:rsidR="005A69ED">
          <w:rPr>
            <w:webHidden/>
          </w:rPr>
          <w:fldChar w:fldCharType="separate"/>
        </w:r>
        <w:r w:rsidR="005A69ED">
          <w:rPr>
            <w:webHidden/>
          </w:rPr>
          <w:t>12</w:t>
        </w:r>
        <w:r w:rsidR="005A69ED">
          <w:rPr>
            <w:webHidden/>
          </w:rPr>
          <w:fldChar w:fldCharType="end"/>
        </w:r>
      </w:hyperlink>
    </w:p>
    <w:p w14:paraId="4B71AAB4" w14:textId="04CF92C9" w:rsidR="005A69ED" w:rsidRDefault="005A69ED">
      <w:pPr>
        <w:pStyle w:val="TOC2"/>
        <w:rPr>
          <w:rFonts w:asciiTheme="minorHAnsi" w:eastAsiaTheme="minorEastAsia" w:hAnsiTheme="minorHAnsi" w:cstheme="minorBidi"/>
          <w:bCs w:val="0"/>
          <w:szCs w:val="24"/>
        </w:rPr>
      </w:pPr>
      <w:hyperlink w:anchor="_Toc13845465" w:history="1">
        <w:r w:rsidRPr="008722B9">
          <w:rPr>
            <w:rStyle w:val="Hyperlink"/>
          </w:rPr>
          <w:t>Government policy and guidance</w:t>
        </w:r>
        <w:r>
          <w:rPr>
            <w:webHidden/>
          </w:rPr>
          <w:tab/>
        </w:r>
        <w:r>
          <w:rPr>
            <w:webHidden/>
          </w:rPr>
          <w:fldChar w:fldCharType="begin"/>
        </w:r>
        <w:r>
          <w:rPr>
            <w:webHidden/>
          </w:rPr>
          <w:instrText xml:space="preserve"> PAGEREF _Toc13845465 \h </w:instrText>
        </w:r>
        <w:r>
          <w:rPr>
            <w:webHidden/>
          </w:rPr>
        </w:r>
        <w:r>
          <w:rPr>
            <w:webHidden/>
          </w:rPr>
          <w:fldChar w:fldCharType="separate"/>
        </w:r>
        <w:r>
          <w:rPr>
            <w:webHidden/>
          </w:rPr>
          <w:t>12</w:t>
        </w:r>
        <w:r>
          <w:rPr>
            <w:webHidden/>
          </w:rPr>
          <w:fldChar w:fldCharType="end"/>
        </w:r>
      </w:hyperlink>
    </w:p>
    <w:p w14:paraId="62AE9EF8" w14:textId="5534F1BC" w:rsidR="005A69ED" w:rsidRDefault="004224E8">
      <w:pPr>
        <w:pStyle w:val="TOC2"/>
        <w:rPr>
          <w:rFonts w:asciiTheme="minorHAnsi" w:eastAsiaTheme="minorEastAsia" w:hAnsiTheme="minorHAnsi" w:cstheme="minorBidi"/>
          <w:bCs w:val="0"/>
          <w:szCs w:val="24"/>
        </w:rPr>
      </w:pPr>
      <w:hyperlink w:anchor="_Toc13845466" w:history="1">
        <w:r w:rsidR="005A69ED" w:rsidRPr="008722B9">
          <w:rPr>
            <w:rStyle w:val="Hyperlink"/>
          </w:rPr>
          <w:t>Planning policy context and methodological implications</w:t>
        </w:r>
        <w:r w:rsidR="005A69ED">
          <w:rPr>
            <w:webHidden/>
          </w:rPr>
          <w:tab/>
        </w:r>
        <w:r w:rsidR="005A69ED">
          <w:rPr>
            <w:webHidden/>
          </w:rPr>
          <w:fldChar w:fldCharType="begin"/>
        </w:r>
        <w:r w:rsidR="005A69ED">
          <w:rPr>
            <w:webHidden/>
          </w:rPr>
          <w:instrText xml:space="preserve"> PAGEREF _Toc13845466 \h </w:instrText>
        </w:r>
        <w:r w:rsidR="005A69ED">
          <w:rPr>
            <w:webHidden/>
          </w:rPr>
        </w:r>
        <w:r w:rsidR="005A69ED">
          <w:rPr>
            <w:webHidden/>
          </w:rPr>
          <w:fldChar w:fldCharType="separate"/>
        </w:r>
        <w:r w:rsidR="005A69ED">
          <w:rPr>
            <w:webHidden/>
          </w:rPr>
          <w:t>16</w:t>
        </w:r>
        <w:r w:rsidR="005A69ED">
          <w:rPr>
            <w:webHidden/>
          </w:rPr>
          <w:fldChar w:fldCharType="end"/>
        </w:r>
      </w:hyperlink>
    </w:p>
    <w:p w14:paraId="6015794B" w14:textId="6E6187F4" w:rsidR="005A69ED" w:rsidRDefault="004224E8">
      <w:pPr>
        <w:pStyle w:val="TOC2"/>
        <w:rPr>
          <w:rFonts w:asciiTheme="minorHAnsi" w:eastAsiaTheme="minorEastAsia" w:hAnsiTheme="minorHAnsi" w:cstheme="minorBidi"/>
          <w:bCs w:val="0"/>
          <w:szCs w:val="24"/>
        </w:rPr>
      </w:pPr>
      <w:hyperlink w:anchor="_Toc13845467" w:history="1">
        <w:r w:rsidR="005A69ED" w:rsidRPr="008722B9">
          <w:rPr>
            <w:rStyle w:val="Hyperlink"/>
          </w:rPr>
          <w:t>Strategic context</w:t>
        </w:r>
        <w:r w:rsidR="005A69ED">
          <w:rPr>
            <w:webHidden/>
          </w:rPr>
          <w:tab/>
        </w:r>
        <w:r w:rsidR="005A69ED">
          <w:rPr>
            <w:webHidden/>
          </w:rPr>
          <w:fldChar w:fldCharType="begin"/>
        </w:r>
        <w:r w:rsidR="005A69ED">
          <w:rPr>
            <w:webHidden/>
          </w:rPr>
          <w:instrText xml:space="preserve"> PAGEREF _Toc13845467 \h </w:instrText>
        </w:r>
        <w:r w:rsidR="005A69ED">
          <w:rPr>
            <w:webHidden/>
          </w:rPr>
        </w:r>
        <w:r w:rsidR="005A69ED">
          <w:rPr>
            <w:webHidden/>
          </w:rPr>
          <w:fldChar w:fldCharType="separate"/>
        </w:r>
        <w:r w:rsidR="005A69ED">
          <w:rPr>
            <w:webHidden/>
          </w:rPr>
          <w:t>17</w:t>
        </w:r>
        <w:r w:rsidR="005A69ED">
          <w:rPr>
            <w:webHidden/>
          </w:rPr>
          <w:fldChar w:fldCharType="end"/>
        </w:r>
      </w:hyperlink>
    </w:p>
    <w:p w14:paraId="32DB0CFC" w14:textId="225E1BCE" w:rsidR="005A69ED" w:rsidRDefault="004224E8">
      <w:pPr>
        <w:pStyle w:val="TOC2"/>
        <w:rPr>
          <w:rFonts w:asciiTheme="minorHAnsi" w:eastAsiaTheme="minorEastAsia" w:hAnsiTheme="minorHAnsi" w:cstheme="minorBidi"/>
          <w:bCs w:val="0"/>
          <w:szCs w:val="24"/>
        </w:rPr>
      </w:pPr>
      <w:hyperlink w:anchor="_Toc13845468" w:history="1">
        <w:r w:rsidR="005A69ED" w:rsidRPr="008722B9">
          <w:rPr>
            <w:rStyle w:val="Hyperlink"/>
          </w:rPr>
          <w:t>Local context</w:t>
        </w:r>
        <w:r w:rsidR="005A69ED">
          <w:rPr>
            <w:webHidden/>
          </w:rPr>
          <w:tab/>
        </w:r>
        <w:r w:rsidR="005A69ED">
          <w:rPr>
            <w:webHidden/>
          </w:rPr>
          <w:fldChar w:fldCharType="begin"/>
        </w:r>
        <w:r w:rsidR="005A69ED">
          <w:rPr>
            <w:webHidden/>
          </w:rPr>
          <w:instrText xml:space="preserve"> PAGEREF _Toc13845468 \h </w:instrText>
        </w:r>
        <w:r w:rsidR="005A69ED">
          <w:rPr>
            <w:webHidden/>
          </w:rPr>
        </w:r>
        <w:r w:rsidR="005A69ED">
          <w:rPr>
            <w:webHidden/>
          </w:rPr>
          <w:fldChar w:fldCharType="separate"/>
        </w:r>
        <w:r w:rsidR="005A69ED">
          <w:rPr>
            <w:webHidden/>
          </w:rPr>
          <w:t>17</w:t>
        </w:r>
        <w:r w:rsidR="005A69ED">
          <w:rPr>
            <w:webHidden/>
          </w:rPr>
          <w:fldChar w:fldCharType="end"/>
        </w:r>
      </w:hyperlink>
    </w:p>
    <w:p w14:paraId="188DF81D" w14:textId="7C6A2B52" w:rsidR="005A69ED" w:rsidRDefault="004224E8">
      <w:pPr>
        <w:pStyle w:val="TOC1"/>
        <w:rPr>
          <w:rFonts w:asciiTheme="minorHAnsi" w:eastAsiaTheme="minorEastAsia" w:hAnsiTheme="minorHAnsi" w:cstheme="minorBidi"/>
          <w:bCs w:val="0"/>
        </w:rPr>
      </w:pPr>
      <w:hyperlink w:anchor="_Toc13845469" w:history="1">
        <w:r w:rsidR="005A69ED" w:rsidRPr="008722B9">
          <w:rPr>
            <w:rStyle w:val="Hyperlink"/>
          </w:rPr>
          <w:t>3.</w:t>
        </w:r>
        <w:r w:rsidR="005A69ED">
          <w:rPr>
            <w:rFonts w:asciiTheme="minorHAnsi" w:eastAsiaTheme="minorEastAsia" w:hAnsiTheme="minorHAnsi" w:cstheme="minorBidi"/>
            <w:bCs w:val="0"/>
          </w:rPr>
          <w:tab/>
        </w:r>
        <w:r w:rsidR="005A69ED" w:rsidRPr="008722B9">
          <w:rPr>
            <w:rStyle w:val="Hyperlink"/>
          </w:rPr>
          <w:t>Methodology</w:t>
        </w:r>
        <w:r w:rsidR="005A69ED">
          <w:rPr>
            <w:webHidden/>
          </w:rPr>
          <w:tab/>
        </w:r>
        <w:r w:rsidR="005A69ED">
          <w:rPr>
            <w:webHidden/>
          </w:rPr>
          <w:fldChar w:fldCharType="begin"/>
        </w:r>
        <w:r w:rsidR="005A69ED">
          <w:rPr>
            <w:webHidden/>
          </w:rPr>
          <w:instrText xml:space="preserve"> PAGEREF _Toc13845469 \h </w:instrText>
        </w:r>
        <w:r w:rsidR="005A69ED">
          <w:rPr>
            <w:webHidden/>
          </w:rPr>
        </w:r>
        <w:r w:rsidR="005A69ED">
          <w:rPr>
            <w:webHidden/>
          </w:rPr>
          <w:fldChar w:fldCharType="separate"/>
        </w:r>
        <w:r w:rsidR="005A69ED">
          <w:rPr>
            <w:webHidden/>
          </w:rPr>
          <w:t>18</w:t>
        </w:r>
        <w:r w:rsidR="005A69ED">
          <w:rPr>
            <w:webHidden/>
          </w:rPr>
          <w:fldChar w:fldCharType="end"/>
        </w:r>
      </w:hyperlink>
    </w:p>
    <w:p w14:paraId="19743ED7" w14:textId="1E0DB632" w:rsidR="005A69ED" w:rsidRDefault="004224E8">
      <w:pPr>
        <w:pStyle w:val="TOC2"/>
        <w:rPr>
          <w:rFonts w:asciiTheme="minorHAnsi" w:eastAsiaTheme="minorEastAsia" w:hAnsiTheme="minorHAnsi" w:cstheme="minorBidi"/>
          <w:bCs w:val="0"/>
          <w:szCs w:val="24"/>
        </w:rPr>
      </w:pPr>
      <w:hyperlink w:anchor="_Toc13845470" w:history="1">
        <w:r w:rsidR="005A69ED" w:rsidRPr="008722B9">
          <w:rPr>
            <w:rStyle w:val="Hyperlink"/>
          </w:rPr>
          <w:t>Phase 1: Literature/desktop review and steering group discussions</w:t>
        </w:r>
        <w:r w:rsidR="005A69ED">
          <w:rPr>
            <w:webHidden/>
          </w:rPr>
          <w:tab/>
        </w:r>
        <w:r w:rsidR="005A69ED">
          <w:rPr>
            <w:webHidden/>
          </w:rPr>
          <w:fldChar w:fldCharType="begin"/>
        </w:r>
        <w:r w:rsidR="005A69ED">
          <w:rPr>
            <w:webHidden/>
          </w:rPr>
          <w:instrText xml:space="preserve"> PAGEREF _Toc13845470 \h </w:instrText>
        </w:r>
        <w:r w:rsidR="005A69ED">
          <w:rPr>
            <w:webHidden/>
          </w:rPr>
        </w:r>
        <w:r w:rsidR="005A69ED">
          <w:rPr>
            <w:webHidden/>
          </w:rPr>
          <w:fldChar w:fldCharType="separate"/>
        </w:r>
        <w:r w:rsidR="005A69ED">
          <w:rPr>
            <w:webHidden/>
          </w:rPr>
          <w:t>18</w:t>
        </w:r>
        <w:r w:rsidR="005A69ED">
          <w:rPr>
            <w:webHidden/>
          </w:rPr>
          <w:fldChar w:fldCharType="end"/>
        </w:r>
      </w:hyperlink>
    </w:p>
    <w:p w14:paraId="1B9B6A77" w14:textId="11701819" w:rsidR="005A69ED" w:rsidRDefault="004224E8">
      <w:pPr>
        <w:pStyle w:val="TOC2"/>
        <w:rPr>
          <w:rFonts w:asciiTheme="minorHAnsi" w:eastAsiaTheme="minorEastAsia" w:hAnsiTheme="minorHAnsi" w:cstheme="minorBidi"/>
          <w:bCs w:val="0"/>
          <w:szCs w:val="24"/>
        </w:rPr>
      </w:pPr>
      <w:hyperlink w:anchor="_Toc13845471" w:history="1">
        <w:r w:rsidR="005A69ED" w:rsidRPr="008722B9">
          <w:rPr>
            <w:rStyle w:val="Hyperlink"/>
          </w:rPr>
          <w:t>Phase 2: Site observation, interviews with Gypsies and Travellers and gathering of demographic information</w:t>
        </w:r>
        <w:r w:rsidR="005A69ED">
          <w:rPr>
            <w:webHidden/>
          </w:rPr>
          <w:tab/>
        </w:r>
        <w:r w:rsidR="005A69ED">
          <w:rPr>
            <w:webHidden/>
          </w:rPr>
          <w:fldChar w:fldCharType="begin"/>
        </w:r>
        <w:r w:rsidR="005A69ED">
          <w:rPr>
            <w:webHidden/>
          </w:rPr>
          <w:instrText xml:space="preserve"> PAGEREF _Toc13845471 \h </w:instrText>
        </w:r>
        <w:r w:rsidR="005A69ED">
          <w:rPr>
            <w:webHidden/>
          </w:rPr>
        </w:r>
        <w:r w:rsidR="005A69ED">
          <w:rPr>
            <w:webHidden/>
          </w:rPr>
          <w:fldChar w:fldCharType="separate"/>
        </w:r>
        <w:r w:rsidR="005A69ED">
          <w:rPr>
            <w:webHidden/>
          </w:rPr>
          <w:t>19</w:t>
        </w:r>
        <w:r w:rsidR="005A69ED">
          <w:rPr>
            <w:webHidden/>
          </w:rPr>
          <w:fldChar w:fldCharType="end"/>
        </w:r>
      </w:hyperlink>
    </w:p>
    <w:p w14:paraId="34501F16" w14:textId="0E6C4CEB" w:rsidR="005A69ED" w:rsidRDefault="004224E8">
      <w:pPr>
        <w:pStyle w:val="TOC2"/>
        <w:rPr>
          <w:rFonts w:asciiTheme="minorHAnsi" w:eastAsiaTheme="minorEastAsia" w:hAnsiTheme="minorHAnsi" w:cstheme="minorBidi"/>
          <w:bCs w:val="0"/>
          <w:szCs w:val="24"/>
        </w:rPr>
      </w:pPr>
      <w:hyperlink w:anchor="_Toc13845472" w:history="1">
        <w:r w:rsidR="005A69ED" w:rsidRPr="008722B9">
          <w:rPr>
            <w:rStyle w:val="Hyperlink"/>
          </w:rPr>
          <w:t>Phase 3: Needs assessment and production of report</w:t>
        </w:r>
        <w:r w:rsidR="005A69ED">
          <w:rPr>
            <w:webHidden/>
          </w:rPr>
          <w:tab/>
        </w:r>
        <w:r w:rsidR="005A69ED">
          <w:rPr>
            <w:webHidden/>
          </w:rPr>
          <w:fldChar w:fldCharType="begin"/>
        </w:r>
        <w:r w:rsidR="005A69ED">
          <w:rPr>
            <w:webHidden/>
          </w:rPr>
          <w:instrText xml:space="preserve"> PAGEREF _Toc13845472 \h </w:instrText>
        </w:r>
        <w:r w:rsidR="005A69ED">
          <w:rPr>
            <w:webHidden/>
          </w:rPr>
        </w:r>
        <w:r w:rsidR="005A69ED">
          <w:rPr>
            <w:webHidden/>
          </w:rPr>
          <w:fldChar w:fldCharType="separate"/>
        </w:r>
        <w:r w:rsidR="005A69ED">
          <w:rPr>
            <w:webHidden/>
          </w:rPr>
          <w:t>21</w:t>
        </w:r>
        <w:r w:rsidR="005A69ED">
          <w:rPr>
            <w:webHidden/>
          </w:rPr>
          <w:fldChar w:fldCharType="end"/>
        </w:r>
      </w:hyperlink>
    </w:p>
    <w:p w14:paraId="00C57041" w14:textId="23DEC538" w:rsidR="005A69ED" w:rsidRDefault="004224E8">
      <w:pPr>
        <w:pStyle w:val="TOC1"/>
        <w:rPr>
          <w:rFonts w:asciiTheme="minorHAnsi" w:eastAsiaTheme="minorEastAsia" w:hAnsiTheme="minorHAnsi" w:cstheme="minorBidi"/>
          <w:bCs w:val="0"/>
        </w:rPr>
      </w:pPr>
      <w:hyperlink w:anchor="_Toc13845473" w:history="1">
        <w:r w:rsidR="005A69ED" w:rsidRPr="008722B9">
          <w:rPr>
            <w:rStyle w:val="Hyperlink"/>
          </w:rPr>
          <w:t>4.</w:t>
        </w:r>
        <w:r w:rsidR="005A69ED">
          <w:rPr>
            <w:rFonts w:asciiTheme="minorHAnsi" w:eastAsiaTheme="minorEastAsia" w:hAnsiTheme="minorHAnsi" w:cstheme="minorBidi"/>
            <w:bCs w:val="0"/>
          </w:rPr>
          <w:tab/>
        </w:r>
        <w:r w:rsidR="005A69ED" w:rsidRPr="008722B9">
          <w:rPr>
            <w:rStyle w:val="Hyperlink"/>
          </w:rPr>
          <w:t>Review of the Gypsy and Traveller population and existing pitch/plot provision</w:t>
        </w:r>
        <w:r w:rsidR="005A69ED">
          <w:rPr>
            <w:webHidden/>
          </w:rPr>
          <w:tab/>
        </w:r>
        <w:r w:rsidR="005A69ED">
          <w:rPr>
            <w:webHidden/>
          </w:rPr>
          <w:fldChar w:fldCharType="begin"/>
        </w:r>
        <w:r w:rsidR="005A69ED">
          <w:rPr>
            <w:webHidden/>
          </w:rPr>
          <w:instrText xml:space="preserve"> PAGEREF _Toc13845473 \h </w:instrText>
        </w:r>
        <w:r w:rsidR="005A69ED">
          <w:rPr>
            <w:webHidden/>
          </w:rPr>
        </w:r>
        <w:r w:rsidR="005A69ED">
          <w:rPr>
            <w:webHidden/>
          </w:rPr>
          <w:fldChar w:fldCharType="separate"/>
        </w:r>
        <w:r w:rsidR="005A69ED">
          <w:rPr>
            <w:webHidden/>
          </w:rPr>
          <w:t>23</w:t>
        </w:r>
        <w:r w:rsidR="005A69ED">
          <w:rPr>
            <w:webHidden/>
          </w:rPr>
          <w:fldChar w:fldCharType="end"/>
        </w:r>
      </w:hyperlink>
    </w:p>
    <w:p w14:paraId="31701840" w14:textId="6D49B0D6" w:rsidR="005A69ED" w:rsidRDefault="004224E8">
      <w:pPr>
        <w:pStyle w:val="TOC2"/>
        <w:rPr>
          <w:rFonts w:asciiTheme="minorHAnsi" w:eastAsiaTheme="minorEastAsia" w:hAnsiTheme="minorHAnsi" w:cstheme="minorBidi"/>
          <w:bCs w:val="0"/>
          <w:szCs w:val="24"/>
        </w:rPr>
      </w:pPr>
      <w:hyperlink w:anchor="_Toc13845474" w:history="1">
        <w:r w:rsidR="005A69ED" w:rsidRPr="008722B9">
          <w:rPr>
            <w:rStyle w:val="Hyperlink"/>
          </w:rPr>
          <w:t>2011 Census population estimates</w:t>
        </w:r>
        <w:r w:rsidR="005A69ED">
          <w:rPr>
            <w:webHidden/>
          </w:rPr>
          <w:tab/>
        </w:r>
        <w:r w:rsidR="005A69ED">
          <w:rPr>
            <w:webHidden/>
          </w:rPr>
          <w:fldChar w:fldCharType="begin"/>
        </w:r>
        <w:r w:rsidR="005A69ED">
          <w:rPr>
            <w:webHidden/>
          </w:rPr>
          <w:instrText xml:space="preserve"> PAGEREF _Toc13845474 \h </w:instrText>
        </w:r>
        <w:r w:rsidR="005A69ED">
          <w:rPr>
            <w:webHidden/>
          </w:rPr>
        </w:r>
        <w:r w:rsidR="005A69ED">
          <w:rPr>
            <w:webHidden/>
          </w:rPr>
          <w:fldChar w:fldCharType="separate"/>
        </w:r>
        <w:r w:rsidR="005A69ED">
          <w:rPr>
            <w:webHidden/>
          </w:rPr>
          <w:t>23</w:t>
        </w:r>
        <w:r w:rsidR="005A69ED">
          <w:rPr>
            <w:webHidden/>
          </w:rPr>
          <w:fldChar w:fldCharType="end"/>
        </w:r>
      </w:hyperlink>
    </w:p>
    <w:p w14:paraId="345F104A" w14:textId="0DC50524" w:rsidR="005A69ED" w:rsidRDefault="004224E8">
      <w:pPr>
        <w:pStyle w:val="TOC2"/>
        <w:rPr>
          <w:rFonts w:asciiTheme="minorHAnsi" w:eastAsiaTheme="minorEastAsia" w:hAnsiTheme="minorHAnsi" w:cstheme="minorBidi"/>
          <w:bCs w:val="0"/>
          <w:szCs w:val="24"/>
        </w:rPr>
      </w:pPr>
      <w:hyperlink w:anchor="_Toc13845475" w:history="1">
        <w:r w:rsidR="005A69ED" w:rsidRPr="008722B9">
          <w:rPr>
            <w:rStyle w:val="Hyperlink"/>
          </w:rPr>
          <w:t>Caravan Count information</w:t>
        </w:r>
        <w:r w:rsidR="005A69ED">
          <w:rPr>
            <w:webHidden/>
          </w:rPr>
          <w:tab/>
        </w:r>
        <w:r w:rsidR="005A69ED">
          <w:rPr>
            <w:webHidden/>
          </w:rPr>
          <w:fldChar w:fldCharType="begin"/>
        </w:r>
        <w:r w:rsidR="005A69ED">
          <w:rPr>
            <w:webHidden/>
          </w:rPr>
          <w:instrText xml:space="preserve"> PAGEREF _Toc13845475 \h </w:instrText>
        </w:r>
        <w:r w:rsidR="005A69ED">
          <w:rPr>
            <w:webHidden/>
          </w:rPr>
        </w:r>
        <w:r w:rsidR="005A69ED">
          <w:rPr>
            <w:webHidden/>
          </w:rPr>
          <w:fldChar w:fldCharType="separate"/>
        </w:r>
        <w:r w:rsidR="005A69ED">
          <w:rPr>
            <w:webHidden/>
          </w:rPr>
          <w:t>24</w:t>
        </w:r>
        <w:r w:rsidR="005A69ED">
          <w:rPr>
            <w:webHidden/>
          </w:rPr>
          <w:fldChar w:fldCharType="end"/>
        </w:r>
      </w:hyperlink>
    </w:p>
    <w:p w14:paraId="3E00BF56" w14:textId="44498054" w:rsidR="005A69ED" w:rsidRDefault="004224E8">
      <w:pPr>
        <w:pStyle w:val="TOC2"/>
        <w:rPr>
          <w:rFonts w:asciiTheme="minorHAnsi" w:eastAsiaTheme="minorEastAsia" w:hAnsiTheme="minorHAnsi" w:cstheme="minorBidi"/>
          <w:bCs w:val="0"/>
          <w:szCs w:val="24"/>
        </w:rPr>
      </w:pPr>
      <w:hyperlink w:anchor="_Toc13845476" w:history="1">
        <w:r w:rsidR="005A69ED" w:rsidRPr="008722B9">
          <w:rPr>
            <w:rStyle w:val="Hyperlink"/>
          </w:rPr>
          <w:t>Local information</w:t>
        </w:r>
        <w:r w:rsidR="005A69ED">
          <w:rPr>
            <w:webHidden/>
          </w:rPr>
          <w:tab/>
        </w:r>
        <w:r w:rsidR="005A69ED">
          <w:rPr>
            <w:webHidden/>
          </w:rPr>
          <w:fldChar w:fldCharType="begin"/>
        </w:r>
        <w:r w:rsidR="005A69ED">
          <w:rPr>
            <w:webHidden/>
          </w:rPr>
          <w:instrText xml:space="preserve"> PAGEREF _Toc13845476 \h </w:instrText>
        </w:r>
        <w:r w:rsidR="005A69ED">
          <w:rPr>
            <w:webHidden/>
          </w:rPr>
        </w:r>
        <w:r w:rsidR="005A69ED">
          <w:rPr>
            <w:webHidden/>
          </w:rPr>
          <w:fldChar w:fldCharType="separate"/>
        </w:r>
        <w:r w:rsidR="005A69ED">
          <w:rPr>
            <w:webHidden/>
          </w:rPr>
          <w:t>26</w:t>
        </w:r>
        <w:r w:rsidR="005A69ED">
          <w:rPr>
            <w:webHidden/>
          </w:rPr>
          <w:fldChar w:fldCharType="end"/>
        </w:r>
      </w:hyperlink>
    </w:p>
    <w:p w14:paraId="3DB91D46" w14:textId="62444DA2" w:rsidR="005A69ED" w:rsidRDefault="004224E8">
      <w:pPr>
        <w:pStyle w:val="TOC1"/>
        <w:rPr>
          <w:rFonts w:asciiTheme="minorHAnsi" w:eastAsiaTheme="minorEastAsia" w:hAnsiTheme="minorHAnsi" w:cstheme="minorBidi"/>
          <w:bCs w:val="0"/>
        </w:rPr>
      </w:pPr>
      <w:hyperlink w:anchor="_Toc13845477" w:history="1">
        <w:r w:rsidR="005A69ED" w:rsidRPr="008722B9">
          <w:rPr>
            <w:rStyle w:val="Hyperlink"/>
          </w:rPr>
          <w:t>5.</w:t>
        </w:r>
        <w:r w:rsidR="005A69ED">
          <w:rPr>
            <w:rFonts w:asciiTheme="minorHAnsi" w:eastAsiaTheme="minorEastAsia" w:hAnsiTheme="minorHAnsi" w:cstheme="minorBidi"/>
            <w:bCs w:val="0"/>
          </w:rPr>
          <w:tab/>
        </w:r>
        <w:r w:rsidR="005A69ED" w:rsidRPr="008722B9">
          <w:rPr>
            <w:rStyle w:val="Hyperlink"/>
          </w:rPr>
          <w:t>Household survey findings</w:t>
        </w:r>
        <w:r w:rsidR="005A69ED">
          <w:rPr>
            <w:webHidden/>
          </w:rPr>
          <w:tab/>
        </w:r>
        <w:r w:rsidR="005A69ED">
          <w:rPr>
            <w:webHidden/>
          </w:rPr>
          <w:fldChar w:fldCharType="begin"/>
        </w:r>
        <w:r w:rsidR="005A69ED">
          <w:rPr>
            <w:webHidden/>
          </w:rPr>
          <w:instrText xml:space="preserve"> PAGEREF _Toc13845477 \h </w:instrText>
        </w:r>
        <w:r w:rsidR="005A69ED">
          <w:rPr>
            <w:webHidden/>
          </w:rPr>
        </w:r>
        <w:r w:rsidR="005A69ED">
          <w:rPr>
            <w:webHidden/>
          </w:rPr>
          <w:fldChar w:fldCharType="separate"/>
        </w:r>
        <w:r w:rsidR="005A69ED">
          <w:rPr>
            <w:webHidden/>
          </w:rPr>
          <w:t>30</w:t>
        </w:r>
        <w:r w:rsidR="005A69ED">
          <w:rPr>
            <w:webHidden/>
          </w:rPr>
          <w:fldChar w:fldCharType="end"/>
        </w:r>
      </w:hyperlink>
    </w:p>
    <w:p w14:paraId="01A4CC1E" w14:textId="35D5A4FB" w:rsidR="005A69ED" w:rsidRDefault="004224E8">
      <w:pPr>
        <w:pStyle w:val="TOC2"/>
        <w:rPr>
          <w:rFonts w:asciiTheme="minorHAnsi" w:eastAsiaTheme="minorEastAsia" w:hAnsiTheme="minorHAnsi" w:cstheme="minorBidi"/>
          <w:bCs w:val="0"/>
          <w:szCs w:val="24"/>
        </w:rPr>
      </w:pPr>
      <w:hyperlink w:anchor="_Toc13845478" w:history="1">
        <w:r w:rsidR="005A69ED" w:rsidRPr="008722B9">
          <w:rPr>
            <w:rStyle w:val="Hyperlink"/>
          </w:rPr>
          <w:t>Gypsy and Traveller households living in West Berkshire</w:t>
        </w:r>
        <w:r w:rsidR="005A69ED">
          <w:rPr>
            <w:webHidden/>
          </w:rPr>
          <w:tab/>
        </w:r>
        <w:r w:rsidR="005A69ED">
          <w:rPr>
            <w:webHidden/>
          </w:rPr>
          <w:fldChar w:fldCharType="begin"/>
        </w:r>
        <w:r w:rsidR="005A69ED">
          <w:rPr>
            <w:webHidden/>
          </w:rPr>
          <w:instrText xml:space="preserve"> PAGEREF _Toc13845478 \h </w:instrText>
        </w:r>
        <w:r w:rsidR="005A69ED">
          <w:rPr>
            <w:webHidden/>
          </w:rPr>
        </w:r>
        <w:r w:rsidR="005A69ED">
          <w:rPr>
            <w:webHidden/>
          </w:rPr>
          <w:fldChar w:fldCharType="separate"/>
        </w:r>
        <w:r w:rsidR="005A69ED">
          <w:rPr>
            <w:webHidden/>
          </w:rPr>
          <w:t>30</w:t>
        </w:r>
        <w:r w:rsidR="005A69ED">
          <w:rPr>
            <w:webHidden/>
          </w:rPr>
          <w:fldChar w:fldCharType="end"/>
        </w:r>
      </w:hyperlink>
    </w:p>
    <w:p w14:paraId="2A374B87" w14:textId="145CFDA6" w:rsidR="005A69ED" w:rsidRDefault="004224E8">
      <w:pPr>
        <w:pStyle w:val="TOC1"/>
        <w:rPr>
          <w:rFonts w:asciiTheme="minorHAnsi" w:eastAsiaTheme="minorEastAsia" w:hAnsiTheme="minorHAnsi" w:cstheme="minorBidi"/>
          <w:bCs w:val="0"/>
        </w:rPr>
      </w:pPr>
      <w:hyperlink w:anchor="_Toc13845479" w:history="1">
        <w:r w:rsidR="005A69ED" w:rsidRPr="008722B9">
          <w:rPr>
            <w:rStyle w:val="Hyperlink"/>
          </w:rPr>
          <w:t>6.</w:t>
        </w:r>
        <w:r w:rsidR="005A69ED">
          <w:rPr>
            <w:rFonts w:asciiTheme="minorHAnsi" w:eastAsiaTheme="minorEastAsia" w:hAnsiTheme="minorHAnsi" w:cstheme="minorBidi"/>
            <w:bCs w:val="0"/>
          </w:rPr>
          <w:tab/>
        </w:r>
        <w:r w:rsidR="005A69ED" w:rsidRPr="008722B9">
          <w:rPr>
            <w:rStyle w:val="Hyperlink"/>
          </w:rPr>
          <w:t>Stakeholder consultation</w:t>
        </w:r>
        <w:r w:rsidR="005A69ED">
          <w:rPr>
            <w:webHidden/>
          </w:rPr>
          <w:tab/>
        </w:r>
        <w:r w:rsidR="005A69ED">
          <w:rPr>
            <w:webHidden/>
          </w:rPr>
          <w:fldChar w:fldCharType="begin"/>
        </w:r>
        <w:r w:rsidR="005A69ED">
          <w:rPr>
            <w:webHidden/>
          </w:rPr>
          <w:instrText xml:space="preserve"> PAGEREF _Toc13845479 \h </w:instrText>
        </w:r>
        <w:r w:rsidR="005A69ED">
          <w:rPr>
            <w:webHidden/>
          </w:rPr>
        </w:r>
        <w:r w:rsidR="005A69ED">
          <w:rPr>
            <w:webHidden/>
          </w:rPr>
          <w:fldChar w:fldCharType="separate"/>
        </w:r>
        <w:r w:rsidR="005A69ED">
          <w:rPr>
            <w:webHidden/>
          </w:rPr>
          <w:t>32</w:t>
        </w:r>
        <w:r w:rsidR="005A69ED">
          <w:rPr>
            <w:webHidden/>
          </w:rPr>
          <w:fldChar w:fldCharType="end"/>
        </w:r>
      </w:hyperlink>
    </w:p>
    <w:p w14:paraId="26594F77" w14:textId="4B419A0B" w:rsidR="005A69ED" w:rsidRDefault="004224E8">
      <w:pPr>
        <w:pStyle w:val="TOC2"/>
        <w:rPr>
          <w:rFonts w:asciiTheme="minorHAnsi" w:eastAsiaTheme="minorEastAsia" w:hAnsiTheme="minorHAnsi" w:cstheme="minorBidi"/>
          <w:bCs w:val="0"/>
          <w:szCs w:val="24"/>
        </w:rPr>
      </w:pPr>
      <w:hyperlink w:anchor="_Toc13845480" w:history="1">
        <w:r w:rsidR="005A69ED" w:rsidRPr="008722B9">
          <w:rPr>
            <w:rStyle w:val="Hyperlink"/>
          </w:rPr>
          <w:t>Overview</w:t>
        </w:r>
        <w:r w:rsidR="005A69ED">
          <w:rPr>
            <w:webHidden/>
          </w:rPr>
          <w:tab/>
        </w:r>
        <w:r w:rsidR="005A69ED">
          <w:rPr>
            <w:webHidden/>
          </w:rPr>
          <w:fldChar w:fldCharType="begin"/>
        </w:r>
        <w:r w:rsidR="005A69ED">
          <w:rPr>
            <w:webHidden/>
          </w:rPr>
          <w:instrText xml:space="preserve"> PAGEREF _Toc13845480 \h </w:instrText>
        </w:r>
        <w:r w:rsidR="005A69ED">
          <w:rPr>
            <w:webHidden/>
          </w:rPr>
        </w:r>
        <w:r w:rsidR="005A69ED">
          <w:rPr>
            <w:webHidden/>
          </w:rPr>
          <w:fldChar w:fldCharType="separate"/>
        </w:r>
        <w:r w:rsidR="005A69ED">
          <w:rPr>
            <w:webHidden/>
          </w:rPr>
          <w:t>32</w:t>
        </w:r>
        <w:r w:rsidR="005A69ED">
          <w:rPr>
            <w:webHidden/>
          </w:rPr>
          <w:fldChar w:fldCharType="end"/>
        </w:r>
      </w:hyperlink>
    </w:p>
    <w:p w14:paraId="4B4A49E8" w14:textId="4CB71338" w:rsidR="005A69ED" w:rsidRDefault="004224E8">
      <w:pPr>
        <w:pStyle w:val="TOC2"/>
        <w:rPr>
          <w:rFonts w:asciiTheme="minorHAnsi" w:eastAsiaTheme="minorEastAsia" w:hAnsiTheme="minorHAnsi" w:cstheme="minorBidi"/>
          <w:bCs w:val="0"/>
          <w:szCs w:val="24"/>
        </w:rPr>
      </w:pPr>
      <w:hyperlink w:anchor="_Toc13845481" w:history="1">
        <w:r w:rsidR="005A69ED" w:rsidRPr="008722B9">
          <w:rPr>
            <w:rStyle w:val="Hyperlink"/>
          </w:rPr>
          <w:t>Provision of accommodation</w:t>
        </w:r>
        <w:r w:rsidR="005A69ED">
          <w:rPr>
            <w:webHidden/>
          </w:rPr>
          <w:tab/>
        </w:r>
        <w:r w:rsidR="005A69ED">
          <w:rPr>
            <w:webHidden/>
          </w:rPr>
          <w:fldChar w:fldCharType="begin"/>
        </w:r>
        <w:r w:rsidR="005A69ED">
          <w:rPr>
            <w:webHidden/>
          </w:rPr>
          <w:instrText xml:space="preserve"> PAGEREF _Toc13845481 \h </w:instrText>
        </w:r>
        <w:r w:rsidR="005A69ED">
          <w:rPr>
            <w:webHidden/>
          </w:rPr>
        </w:r>
        <w:r w:rsidR="005A69ED">
          <w:rPr>
            <w:webHidden/>
          </w:rPr>
          <w:fldChar w:fldCharType="separate"/>
        </w:r>
        <w:r w:rsidR="005A69ED">
          <w:rPr>
            <w:webHidden/>
          </w:rPr>
          <w:t>32</w:t>
        </w:r>
        <w:r w:rsidR="005A69ED">
          <w:rPr>
            <w:webHidden/>
          </w:rPr>
          <w:fldChar w:fldCharType="end"/>
        </w:r>
      </w:hyperlink>
    </w:p>
    <w:p w14:paraId="7C0217EA" w14:textId="2FB9F8C5" w:rsidR="005A69ED" w:rsidRDefault="004224E8">
      <w:pPr>
        <w:pStyle w:val="TOC2"/>
        <w:rPr>
          <w:rFonts w:asciiTheme="minorHAnsi" w:eastAsiaTheme="minorEastAsia" w:hAnsiTheme="minorHAnsi" w:cstheme="minorBidi"/>
          <w:bCs w:val="0"/>
          <w:szCs w:val="24"/>
        </w:rPr>
      </w:pPr>
      <w:hyperlink w:anchor="_Toc13845482" w:history="1">
        <w:r w:rsidR="005A69ED" w:rsidRPr="008722B9">
          <w:rPr>
            <w:rStyle w:val="Hyperlink"/>
            <w:rFonts w:cs="Arial"/>
          </w:rPr>
          <w:t>Planning policy</w:t>
        </w:r>
        <w:r w:rsidR="005A69ED">
          <w:rPr>
            <w:webHidden/>
          </w:rPr>
          <w:tab/>
        </w:r>
        <w:r w:rsidR="005A69ED">
          <w:rPr>
            <w:webHidden/>
          </w:rPr>
          <w:fldChar w:fldCharType="begin"/>
        </w:r>
        <w:r w:rsidR="005A69ED">
          <w:rPr>
            <w:webHidden/>
          </w:rPr>
          <w:instrText xml:space="preserve"> PAGEREF _Toc13845482 \h </w:instrText>
        </w:r>
        <w:r w:rsidR="005A69ED">
          <w:rPr>
            <w:webHidden/>
          </w:rPr>
        </w:r>
        <w:r w:rsidR="005A69ED">
          <w:rPr>
            <w:webHidden/>
          </w:rPr>
          <w:fldChar w:fldCharType="separate"/>
        </w:r>
        <w:r w:rsidR="005A69ED">
          <w:rPr>
            <w:webHidden/>
          </w:rPr>
          <w:t>36</w:t>
        </w:r>
        <w:r w:rsidR="005A69ED">
          <w:rPr>
            <w:webHidden/>
          </w:rPr>
          <w:fldChar w:fldCharType="end"/>
        </w:r>
      </w:hyperlink>
    </w:p>
    <w:p w14:paraId="775C713A" w14:textId="60B48E69" w:rsidR="005A69ED" w:rsidRDefault="004224E8">
      <w:pPr>
        <w:pStyle w:val="TOC2"/>
        <w:rPr>
          <w:rFonts w:asciiTheme="minorHAnsi" w:eastAsiaTheme="minorEastAsia" w:hAnsiTheme="minorHAnsi" w:cstheme="minorBidi"/>
          <w:bCs w:val="0"/>
          <w:szCs w:val="24"/>
        </w:rPr>
      </w:pPr>
      <w:hyperlink w:anchor="_Toc13845483" w:history="1">
        <w:r w:rsidR="005A69ED" w:rsidRPr="008722B9">
          <w:rPr>
            <w:rStyle w:val="Hyperlink"/>
            <w:rFonts w:cs="Arial"/>
          </w:rPr>
          <w:t>Cross-boundary issues</w:t>
        </w:r>
        <w:r w:rsidR="005A69ED">
          <w:rPr>
            <w:webHidden/>
          </w:rPr>
          <w:tab/>
        </w:r>
        <w:r w:rsidR="005A69ED">
          <w:rPr>
            <w:webHidden/>
          </w:rPr>
          <w:fldChar w:fldCharType="begin"/>
        </w:r>
        <w:r w:rsidR="005A69ED">
          <w:rPr>
            <w:webHidden/>
          </w:rPr>
          <w:instrText xml:space="preserve"> PAGEREF _Toc13845483 \h </w:instrText>
        </w:r>
        <w:r w:rsidR="005A69ED">
          <w:rPr>
            <w:webHidden/>
          </w:rPr>
        </w:r>
        <w:r w:rsidR="005A69ED">
          <w:rPr>
            <w:webHidden/>
          </w:rPr>
          <w:fldChar w:fldCharType="separate"/>
        </w:r>
        <w:r w:rsidR="005A69ED">
          <w:rPr>
            <w:webHidden/>
          </w:rPr>
          <w:t>37</w:t>
        </w:r>
        <w:r w:rsidR="005A69ED">
          <w:rPr>
            <w:webHidden/>
          </w:rPr>
          <w:fldChar w:fldCharType="end"/>
        </w:r>
      </w:hyperlink>
    </w:p>
    <w:p w14:paraId="3070BCC6" w14:textId="3F14F1AC" w:rsidR="005A69ED" w:rsidRDefault="004224E8">
      <w:pPr>
        <w:pStyle w:val="TOC1"/>
        <w:rPr>
          <w:rFonts w:asciiTheme="minorHAnsi" w:eastAsiaTheme="minorEastAsia" w:hAnsiTheme="minorHAnsi" w:cstheme="minorBidi"/>
          <w:bCs w:val="0"/>
        </w:rPr>
      </w:pPr>
      <w:hyperlink w:anchor="_Toc13845484" w:history="1">
        <w:r w:rsidR="005A69ED" w:rsidRPr="008722B9">
          <w:rPr>
            <w:rStyle w:val="Hyperlink"/>
          </w:rPr>
          <w:t>7.</w:t>
        </w:r>
        <w:r w:rsidR="005A69ED">
          <w:rPr>
            <w:rFonts w:asciiTheme="minorHAnsi" w:eastAsiaTheme="minorEastAsia" w:hAnsiTheme="minorHAnsi" w:cstheme="minorBidi"/>
            <w:bCs w:val="0"/>
          </w:rPr>
          <w:tab/>
        </w:r>
        <w:r w:rsidR="005A69ED" w:rsidRPr="008722B9">
          <w:rPr>
            <w:rStyle w:val="Hyperlink"/>
          </w:rPr>
          <w:t>Gypsy and Traveller pitch, Travelling Showperson plot, transit site requirements and houseboat need</w:t>
        </w:r>
        <w:r w:rsidR="005A69ED">
          <w:rPr>
            <w:webHidden/>
          </w:rPr>
          <w:tab/>
        </w:r>
        <w:r w:rsidR="005A69ED">
          <w:rPr>
            <w:webHidden/>
          </w:rPr>
          <w:fldChar w:fldCharType="begin"/>
        </w:r>
        <w:r w:rsidR="005A69ED">
          <w:rPr>
            <w:webHidden/>
          </w:rPr>
          <w:instrText xml:space="preserve"> PAGEREF _Toc13845484 \h </w:instrText>
        </w:r>
        <w:r w:rsidR="005A69ED">
          <w:rPr>
            <w:webHidden/>
          </w:rPr>
        </w:r>
        <w:r w:rsidR="005A69ED">
          <w:rPr>
            <w:webHidden/>
          </w:rPr>
          <w:fldChar w:fldCharType="separate"/>
        </w:r>
        <w:r w:rsidR="005A69ED">
          <w:rPr>
            <w:webHidden/>
          </w:rPr>
          <w:t>40</w:t>
        </w:r>
        <w:r w:rsidR="005A69ED">
          <w:rPr>
            <w:webHidden/>
          </w:rPr>
          <w:fldChar w:fldCharType="end"/>
        </w:r>
      </w:hyperlink>
    </w:p>
    <w:p w14:paraId="7006D7C3" w14:textId="34677F27" w:rsidR="005A69ED" w:rsidRDefault="004224E8">
      <w:pPr>
        <w:pStyle w:val="TOC2"/>
        <w:rPr>
          <w:rFonts w:asciiTheme="minorHAnsi" w:eastAsiaTheme="minorEastAsia" w:hAnsiTheme="minorHAnsi" w:cstheme="minorBidi"/>
          <w:bCs w:val="0"/>
          <w:szCs w:val="24"/>
        </w:rPr>
      </w:pPr>
      <w:hyperlink w:anchor="_Toc13845485" w:history="1">
        <w:r w:rsidR="005A69ED" w:rsidRPr="008722B9">
          <w:rPr>
            <w:rStyle w:val="Hyperlink"/>
          </w:rPr>
          <w:t>Introduction</w:t>
        </w:r>
        <w:r w:rsidR="005A69ED">
          <w:rPr>
            <w:webHidden/>
          </w:rPr>
          <w:tab/>
        </w:r>
        <w:r w:rsidR="005A69ED">
          <w:rPr>
            <w:webHidden/>
          </w:rPr>
          <w:fldChar w:fldCharType="begin"/>
        </w:r>
        <w:r w:rsidR="005A69ED">
          <w:rPr>
            <w:webHidden/>
          </w:rPr>
          <w:instrText xml:space="preserve"> PAGEREF _Toc13845485 \h </w:instrText>
        </w:r>
        <w:r w:rsidR="005A69ED">
          <w:rPr>
            <w:webHidden/>
          </w:rPr>
        </w:r>
        <w:r w:rsidR="005A69ED">
          <w:rPr>
            <w:webHidden/>
          </w:rPr>
          <w:fldChar w:fldCharType="separate"/>
        </w:r>
        <w:r w:rsidR="005A69ED">
          <w:rPr>
            <w:webHidden/>
          </w:rPr>
          <w:t>40</w:t>
        </w:r>
        <w:r w:rsidR="005A69ED">
          <w:rPr>
            <w:webHidden/>
          </w:rPr>
          <w:fldChar w:fldCharType="end"/>
        </w:r>
      </w:hyperlink>
    </w:p>
    <w:p w14:paraId="519039E4" w14:textId="0040D3EF" w:rsidR="005A69ED" w:rsidRDefault="004224E8">
      <w:pPr>
        <w:pStyle w:val="TOC2"/>
        <w:rPr>
          <w:rFonts w:asciiTheme="minorHAnsi" w:eastAsiaTheme="minorEastAsia" w:hAnsiTheme="minorHAnsi" w:cstheme="minorBidi"/>
          <w:bCs w:val="0"/>
          <w:szCs w:val="24"/>
        </w:rPr>
      </w:pPr>
      <w:hyperlink w:anchor="_Toc13845486" w:history="1">
        <w:r w:rsidR="005A69ED" w:rsidRPr="008722B9">
          <w:rPr>
            <w:rStyle w:val="Hyperlink"/>
          </w:rPr>
          <w:t>Pitch requirement model overview</w:t>
        </w:r>
        <w:r w:rsidR="005A69ED">
          <w:rPr>
            <w:webHidden/>
          </w:rPr>
          <w:tab/>
        </w:r>
        <w:r w:rsidR="005A69ED">
          <w:rPr>
            <w:webHidden/>
          </w:rPr>
          <w:fldChar w:fldCharType="begin"/>
        </w:r>
        <w:r w:rsidR="005A69ED">
          <w:rPr>
            <w:webHidden/>
          </w:rPr>
          <w:instrText xml:space="preserve"> PAGEREF _Toc13845486 \h </w:instrText>
        </w:r>
        <w:r w:rsidR="005A69ED">
          <w:rPr>
            <w:webHidden/>
          </w:rPr>
        </w:r>
        <w:r w:rsidR="005A69ED">
          <w:rPr>
            <w:webHidden/>
          </w:rPr>
          <w:fldChar w:fldCharType="separate"/>
        </w:r>
        <w:r w:rsidR="005A69ED">
          <w:rPr>
            <w:webHidden/>
          </w:rPr>
          <w:t>40</w:t>
        </w:r>
        <w:r w:rsidR="005A69ED">
          <w:rPr>
            <w:webHidden/>
          </w:rPr>
          <w:fldChar w:fldCharType="end"/>
        </w:r>
      </w:hyperlink>
    </w:p>
    <w:p w14:paraId="2509C8F4" w14:textId="2DBD41DA" w:rsidR="005A69ED" w:rsidRDefault="004224E8">
      <w:pPr>
        <w:pStyle w:val="TOC2"/>
        <w:rPr>
          <w:rFonts w:asciiTheme="minorHAnsi" w:eastAsiaTheme="minorEastAsia" w:hAnsiTheme="minorHAnsi" w:cstheme="minorBidi"/>
          <w:bCs w:val="0"/>
          <w:szCs w:val="24"/>
        </w:rPr>
      </w:pPr>
      <w:hyperlink w:anchor="_Toc13845487" w:history="1">
        <w:r w:rsidR="005A69ED" w:rsidRPr="008722B9">
          <w:rPr>
            <w:rStyle w:val="Hyperlink"/>
          </w:rPr>
          <w:t>Description of factors in the 5-year need model</w:t>
        </w:r>
        <w:r w:rsidR="005A69ED">
          <w:rPr>
            <w:webHidden/>
          </w:rPr>
          <w:tab/>
        </w:r>
        <w:r w:rsidR="005A69ED">
          <w:rPr>
            <w:webHidden/>
          </w:rPr>
          <w:fldChar w:fldCharType="begin"/>
        </w:r>
        <w:r w:rsidR="005A69ED">
          <w:rPr>
            <w:webHidden/>
          </w:rPr>
          <w:instrText xml:space="preserve"> PAGEREF _Toc13845487 \h </w:instrText>
        </w:r>
        <w:r w:rsidR="005A69ED">
          <w:rPr>
            <w:webHidden/>
          </w:rPr>
        </w:r>
        <w:r w:rsidR="005A69ED">
          <w:rPr>
            <w:webHidden/>
          </w:rPr>
          <w:fldChar w:fldCharType="separate"/>
        </w:r>
        <w:r w:rsidR="005A69ED">
          <w:rPr>
            <w:webHidden/>
          </w:rPr>
          <w:t>41</w:t>
        </w:r>
        <w:r w:rsidR="005A69ED">
          <w:rPr>
            <w:webHidden/>
          </w:rPr>
          <w:fldChar w:fldCharType="end"/>
        </w:r>
      </w:hyperlink>
    </w:p>
    <w:p w14:paraId="036F0C6A" w14:textId="0F100B63" w:rsidR="005A69ED" w:rsidRDefault="004224E8">
      <w:pPr>
        <w:pStyle w:val="TOC2"/>
        <w:rPr>
          <w:rFonts w:asciiTheme="minorHAnsi" w:eastAsiaTheme="minorEastAsia" w:hAnsiTheme="minorHAnsi" w:cstheme="minorBidi"/>
          <w:bCs w:val="0"/>
          <w:szCs w:val="24"/>
        </w:rPr>
      </w:pPr>
      <w:hyperlink w:anchor="_Toc13845488" w:history="1">
        <w:r w:rsidR="005A69ED" w:rsidRPr="008722B9">
          <w:rPr>
            <w:rStyle w:val="Hyperlink"/>
          </w:rPr>
          <w:t>Longer-term pitch requirement modelling</w:t>
        </w:r>
        <w:r w:rsidR="005A69ED">
          <w:rPr>
            <w:webHidden/>
          </w:rPr>
          <w:tab/>
        </w:r>
        <w:r w:rsidR="005A69ED">
          <w:rPr>
            <w:webHidden/>
          </w:rPr>
          <w:fldChar w:fldCharType="begin"/>
        </w:r>
        <w:r w:rsidR="005A69ED">
          <w:rPr>
            <w:webHidden/>
          </w:rPr>
          <w:instrText xml:space="preserve"> PAGEREF _Toc13845488 \h </w:instrText>
        </w:r>
        <w:r w:rsidR="005A69ED">
          <w:rPr>
            <w:webHidden/>
          </w:rPr>
        </w:r>
        <w:r w:rsidR="005A69ED">
          <w:rPr>
            <w:webHidden/>
          </w:rPr>
          <w:fldChar w:fldCharType="separate"/>
        </w:r>
        <w:r w:rsidR="005A69ED">
          <w:rPr>
            <w:webHidden/>
          </w:rPr>
          <w:t>44</w:t>
        </w:r>
        <w:r w:rsidR="005A69ED">
          <w:rPr>
            <w:webHidden/>
          </w:rPr>
          <w:fldChar w:fldCharType="end"/>
        </w:r>
      </w:hyperlink>
    </w:p>
    <w:p w14:paraId="563BF4D4" w14:textId="7215C9F3" w:rsidR="005A69ED" w:rsidRDefault="004224E8">
      <w:pPr>
        <w:pStyle w:val="TOC2"/>
        <w:rPr>
          <w:rFonts w:asciiTheme="minorHAnsi" w:eastAsiaTheme="minorEastAsia" w:hAnsiTheme="minorHAnsi" w:cstheme="minorBidi"/>
          <w:bCs w:val="0"/>
          <w:szCs w:val="24"/>
        </w:rPr>
      </w:pPr>
      <w:hyperlink w:anchor="_Toc13845489" w:history="1">
        <w:r w:rsidR="005A69ED" w:rsidRPr="008722B9">
          <w:rPr>
            <w:rStyle w:val="Hyperlink"/>
          </w:rPr>
          <w:t>Planning Policy for Traveller Site definition</w:t>
        </w:r>
        <w:r w:rsidR="005A69ED">
          <w:rPr>
            <w:webHidden/>
          </w:rPr>
          <w:tab/>
        </w:r>
        <w:r w:rsidR="005A69ED">
          <w:rPr>
            <w:webHidden/>
          </w:rPr>
          <w:fldChar w:fldCharType="begin"/>
        </w:r>
        <w:r w:rsidR="005A69ED">
          <w:rPr>
            <w:webHidden/>
          </w:rPr>
          <w:instrText xml:space="preserve"> PAGEREF _Toc13845489 \h </w:instrText>
        </w:r>
        <w:r w:rsidR="005A69ED">
          <w:rPr>
            <w:webHidden/>
          </w:rPr>
        </w:r>
        <w:r w:rsidR="005A69ED">
          <w:rPr>
            <w:webHidden/>
          </w:rPr>
          <w:fldChar w:fldCharType="separate"/>
        </w:r>
        <w:r w:rsidR="005A69ED">
          <w:rPr>
            <w:webHidden/>
          </w:rPr>
          <w:t>44</w:t>
        </w:r>
        <w:r w:rsidR="005A69ED">
          <w:rPr>
            <w:webHidden/>
          </w:rPr>
          <w:fldChar w:fldCharType="end"/>
        </w:r>
      </w:hyperlink>
    </w:p>
    <w:p w14:paraId="552C5D4E" w14:textId="7E980AB1" w:rsidR="005A69ED" w:rsidRDefault="004224E8">
      <w:pPr>
        <w:pStyle w:val="TOC2"/>
        <w:rPr>
          <w:rFonts w:asciiTheme="minorHAnsi" w:eastAsiaTheme="minorEastAsia" w:hAnsiTheme="minorHAnsi" w:cstheme="minorBidi"/>
          <w:bCs w:val="0"/>
          <w:szCs w:val="24"/>
        </w:rPr>
      </w:pPr>
      <w:hyperlink w:anchor="_Toc13845490" w:history="1">
        <w:r w:rsidR="005A69ED" w:rsidRPr="008722B9">
          <w:rPr>
            <w:rStyle w:val="Hyperlink"/>
          </w:rPr>
          <w:t>Plan Period pitch need</w:t>
        </w:r>
        <w:r w:rsidR="005A69ED">
          <w:rPr>
            <w:webHidden/>
          </w:rPr>
          <w:tab/>
        </w:r>
        <w:r w:rsidR="005A69ED">
          <w:rPr>
            <w:webHidden/>
          </w:rPr>
          <w:fldChar w:fldCharType="begin"/>
        </w:r>
        <w:r w:rsidR="005A69ED">
          <w:rPr>
            <w:webHidden/>
          </w:rPr>
          <w:instrText xml:space="preserve"> PAGEREF _Toc13845490 \h </w:instrText>
        </w:r>
        <w:r w:rsidR="005A69ED">
          <w:rPr>
            <w:webHidden/>
          </w:rPr>
        </w:r>
        <w:r w:rsidR="005A69ED">
          <w:rPr>
            <w:webHidden/>
          </w:rPr>
          <w:fldChar w:fldCharType="separate"/>
        </w:r>
        <w:r w:rsidR="005A69ED">
          <w:rPr>
            <w:webHidden/>
          </w:rPr>
          <w:t>44</w:t>
        </w:r>
        <w:r w:rsidR="005A69ED">
          <w:rPr>
            <w:webHidden/>
          </w:rPr>
          <w:fldChar w:fldCharType="end"/>
        </w:r>
      </w:hyperlink>
    </w:p>
    <w:p w14:paraId="22044F95" w14:textId="754CAF49" w:rsidR="005A69ED" w:rsidRDefault="004224E8">
      <w:pPr>
        <w:pStyle w:val="TOC2"/>
        <w:rPr>
          <w:rFonts w:asciiTheme="minorHAnsi" w:eastAsiaTheme="minorEastAsia" w:hAnsiTheme="minorHAnsi" w:cstheme="minorBidi"/>
          <w:bCs w:val="0"/>
          <w:szCs w:val="24"/>
        </w:rPr>
      </w:pPr>
      <w:hyperlink w:anchor="_Toc13845491" w:history="1">
        <w:r w:rsidR="005A69ED" w:rsidRPr="008722B9">
          <w:rPr>
            <w:rStyle w:val="Hyperlink"/>
          </w:rPr>
          <w:t>Options to address need</w:t>
        </w:r>
        <w:r w:rsidR="005A69ED">
          <w:rPr>
            <w:webHidden/>
          </w:rPr>
          <w:tab/>
        </w:r>
        <w:r w:rsidR="005A69ED">
          <w:rPr>
            <w:webHidden/>
          </w:rPr>
          <w:fldChar w:fldCharType="begin"/>
        </w:r>
        <w:r w:rsidR="005A69ED">
          <w:rPr>
            <w:webHidden/>
          </w:rPr>
          <w:instrText xml:space="preserve"> PAGEREF _Toc13845491 \h </w:instrText>
        </w:r>
        <w:r w:rsidR="005A69ED">
          <w:rPr>
            <w:webHidden/>
          </w:rPr>
        </w:r>
        <w:r w:rsidR="005A69ED">
          <w:rPr>
            <w:webHidden/>
          </w:rPr>
          <w:fldChar w:fldCharType="separate"/>
        </w:r>
        <w:r w:rsidR="005A69ED">
          <w:rPr>
            <w:webHidden/>
          </w:rPr>
          <w:t>45</w:t>
        </w:r>
        <w:r w:rsidR="005A69ED">
          <w:rPr>
            <w:webHidden/>
          </w:rPr>
          <w:fldChar w:fldCharType="end"/>
        </w:r>
      </w:hyperlink>
    </w:p>
    <w:p w14:paraId="1A6DBD3B" w14:textId="6E3CC256" w:rsidR="005A69ED" w:rsidRDefault="004224E8">
      <w:pPr>
        <w:pStyle w:val="TOC2"/>
        <w:rPr>
          <w:rFonts w:asciiTheme="minorHAnsi" w:eastAsiaTheme="minorEastAsia" w:hAnsiTheme="minorHAnsi" w:cstheme="minorBidi"/>
          <w:bCs w:val="0"/>
          <w:szCs w:val="24"/>
        </w:rPr>
      </w:pPr>
      <w:hyperlink w:anchor="_Toc13845492" w:history="1">
        <w:r w:rsidR="005A69ED" w:rsidRPr="008722B9">
          <w:rPr>
            <w:rStyle w:val="Hyperlink"/>
          </w:rPr>
          <w:t>Impact on overall need</w:t>
        </w:r>
        <w:r w:rsidR="005A69ED">
          <w:rPr>
            <w:webHidden/>
          </w:rPr>
          <w:tab/>
        </w:r>
        <w:r w:rsidR="005A69ED">
          <w:rPr>
            <w:webHidden/>
          </w:rPr>
          <w:fldChar w:fldCharType="begin"/>
        </w:r>
        <w:r w:rsidR="005A69ED">
          <w:rPr>
            <w:webHidden/>
          </w:rPr>
          <w:instrText xml:space="preserve"> PAGEREF _Toc13845492 \h </w:instrText>
        </w:r>
        <w:r w:rsidR="005A69ED">
          <w:rPr>
            <w:webHidden/>
          </w:rPr>
        </w:r>
        <w:r w:rsidR="005A69ED">
          <w:rPr>
            <w:webHidden/>
          </w:rPr>
          <w:fldChar w:fldCharType="separate"/>
        </w:r>
        <w:r w:rsidR="005A69ED">
          <w:rPr>
            <w:webHidden/>
          </w:rPr>
          <w:t>46</w:t>
        </w:r>
        <w:r w:rsidR="005A69ED">
          <w:rPr>
            <w:webHidden/>
          </w:rPr>
          <w:fldChar w:fldCharType="end"/>
        </w:r>
      </w:hyperlink>
    </w:p>
    <w:p w14:paraId="7F013973" w14:textId="563D51F0" w:rsidR="005A69ED" w:rsidRDefault="004224E8">
      <w:pPr>
        <w:pStyle w:val="TOC2"/>
        <w:rPr>
          <w:rFonts w:asciiTheme="minorHAnsi" w:eastAsiaTheme="minorEastAsia" w:hAnsiTheme="minorHAnsi" w:cstheme="minorBidi"/>
          <w:bCs w:val="0"/>
          <w:szCs w:val="24"/>
        </w:rPr>
      </w:pPr>
      <w:hyperlink w:anchor="_Toc13845493" w:history="1">
        <w:r w:rsidR="005A69ED" w:rsidRPr="008722B9">
          <w:rPr>
            <w:rStyle w:val="Hyperlink"/>
          </w:rPr>
          <w:t>Comparison with the previous GTAA</w:t>
        </w:r>
        <w:r w:rsidR="005A69ED">
          <w:rPr>
            <w:webHidden/>
          </w:rPr>
          <w:tab/>
        </w:r>
        <w:r w:rsidR="005A69ED">
          <w:rPr>
            <w:webHidden/>
          </w:rPr>
          <w:fldChar w:fldCharType="begin"/>
        </w:r>
        <w:r w:rsidR="005A69ED">
          <w:rPr>
            <w:webHidden/>
          </w:rPr>
          <w:instrText xml:space="preserve"> PAGEREF _Toc13845493 \h </w:instrText>
        </w:r>
        <w:r w:rsidR="005A69ED">
          <w:rPr>
            <w:webHidden/>
          </w:rPr>
        </w:r>
        <w:r w:rsidR="005A69ED">
          <w:rPr>
            <w:webHidden/>
          </w:rPr>
          <w:fldChar w:fldCharType="separate"/>
        </w:r>
        <w:r w:rsidR="005A69ED">
          <w:rPr>
            <w:webHidden/>
          </w:rPr>
          <w:t>47</w:t>
        </w:r>
        <w:r w:rsidR="005A69ED">
          <w:rPr>
            <w:webHidden/>
          </w:rPr>
          <w:fldChar w:fldCharType="end"/>
        </w:r>
      </w:hyperlink>
    </w:p>
    <w:p w14:paraId="6D05F9BE" w14:textId="480F4684" w:rsidR="005A69ED" w:rsidRDefault="004224E8">
      <w:pPr>
        <w:pStyle w:val="TOC2"/>
        <w:rPr>
          <w:rFonts w:asciiTheme="minorHAnsi" w:eastAsiaTheme="minorEastAsia" w:hAnsiTheme="minorHAnsi" w:cstheme="minorBidi"/>
          <w:bCs w:val="0"/>
          <w:szCs w:val="24"/>
        </w:rPr>
      </w:pPr>
      <w:hyperlink w:anchor="_Toc13845494" w:history="1">
        <w:r w:rsidR="005A69ED" w:rsidRPr="008722B9">
          <w:rPr>
            <w:rStyle w:val="Hyperlink"/>
          </w:rPr>
          <w:t>Transit site requirements</w:t>
        </w:r>
        <w:r w:rsidR="005A69ED">
          <w:rPr>
            <w:webHidden/>
          </w:rPr>
          <w:tab/>
        </w:r>
        <w:r w:rsidR="005A69ED">
          <w:rPr>
            <w:webHidden/>
          </w:rPr>
          <w:fldChar w:fldCharType="begin"/>
        </w:r>
        <w:r w:rsidR="005A69ED">
          <w:rPr>
            <w:webHidden/>
          </w:rPr>
          <w:instrText xml:space="preserve"> PAGEREF _Toc13845494 \h </w:instrText>
        </w:r>
        <w:r w:rsidR="005A69ED">
          <w:rPr>
            <w:webHidden/>
          </w:rPr>
        </w:r>
        <w:r w:rsidR="005A69ED">
          <w:rPr>
            <w:webHidden/>
          </w:rPr>
          <w:fldChar w:fldCharType="separate"/>
        </w:r>
        <w:r w:rsidR="005A69ED">
          <w:rPr>
            <w:webHidden/>
          </w:rPr>
          <w:t>48</w:t>
        </w:r>
        <w:r w:rsidR="005A69ED">
          <w:rPr>
            <w:webHidden/>
          </w:rPr>
          <w:fldChar w:fldCharType="end"/>
        </w:r>
      </w:hyperlink>
    </w:p>
    <w:p w14:paraId="194AEFBA" w14:textId="4CE7A05B" w:rsidR="005A69ED" w:rsidRDefault="004224E8">
      <w:pPr>
        <w:pStyle w:val="TOC2"/>
        <w:rPr>
          <w:rFonts w:asciiTheme="minorHAnsi" w:eastAsiaTheme="minorEastAsia" w:hAnsiTheme="minorHAnsi" w:cstheme="minorBidi"/>
          <w:bCs w:val="0"/>
          <w:szCs w:val="24"/>
        </w:rPr>
      </w:pPr>
      <w:hyperlink w:anchor="_Toc13845495" w:history="1">
        <w:r w:rsidR="005A69ED" w:rsidRPr="008722B9">
          <w:rPr>
            <w:rStyle w:val="Hyperlink"/>
          </w:rPr>
          <w:t>Houseboat need</w:t>
        </w:r>
        <w:r w:rsidR="005A69ED">
          <w:rPr>
            <w:webHidden/>
          </w:rPr>
          <w:tab/>
        </w:r>
        <w:r w:rsidR="005A69ED">
          <w:rPr>
            <w:webHidden/>
          </w:rPr>
          <w:fldChar w:fldCharType="begin"/>
        </w:r>
        <w:r w:rsidR="005A69ED">
          <w:rPr>
            <w:webHidden/>
          </w:rPr>
          <w:instrText xml:space="preserve"> PAGEREF _Toc13845495 \h </w:instrText>
        </w:r>
        <w:r w:rsidR="005A69ED">
          <w:rPr>
            <w:webHidden/>
          </w:rPr>
        </w:r>
        <w:r w:rsidR="005A69ED">
          <w:rPr>
            <w:webHidden/>
          </w:rPr>
          <w:fldChar w:fldCharType="separate"/>
        </w:r>
        <w:r w:rsidR="005A69ED">
          <w:rPr>
            <w:webHidden/>
          </w:rPr>
          <w:t>48</w:t>
        </w:r>
        <w:r w:rsidR="005A69ED">
          <w:rPr>
            <w:webHidden/>
          </w:rPr>
          <w:fldChar w:fldCharType="end"/>
        </w:r>
      </w:hyperlink>
    </w:p>
    <w:p w14:paraId="6ADB763A" w14:textId="0844E528" w:rsidR="005A69ED" w:rsidRDefault="004224E8">
      <w:pPr>
        <w:pStyle w:val="TOC1"/>
        <w:rPr>
          <w:rFonts w:asciiTheme="minorHAnsi" w:eastAsiaTheme="minorEastAsia" w:hAnsiTheme="minorHAnsi" w:cstheme="minorBidi"/>
          <w:bCs w:val="0"/>
        </w:rPr>
      </w:pPr>
      <w:hyperlink w:anchor="_Toc13845496" w:history="1">
        <w:r w:rsidR="005A69ED" w:rsidRPr="008722B9">
          <w:rPr>
            <w:rStyle w:val="Hyperlink"/>
          </w:rPr>
          <w:t>8.</w:t>
        </w:r>
        <w:r w:rsidR="005A69ED">
          <w:rPr>
            <w:rFonts w:asciiTheme="minorHAnsi" w:eastAsiaTheme="minorEastAsia" w:hAnsiTheme="minorHAnsi" w:cstheme="minorBidi"/>
            <w:bCs w:val="0"/>
          </w:rPr>
          <w:tab/>
        </w:r>
        <w:r w:rsidR="005A69ED" w:rsidRPr="008722B9">
          <w:rPr>
            <w:rStyle w:val="Hyperlink"/>
          </w:rPr>
          <w:t>Conclusion and strategic response</w:t>
        </w:r>
        <w:r w:rsidR="005A69ED">
          <w:rPr>
            <w:webHidden/>
          </w:rPr>
          <w:tab/>
        </w:r>
        <w:r w:rsidR="005A69ED">
          <w:rPr>
            <w:webHidden/>
          </w:rPr>
          <w:fldChar w:fldCharType="begin"/>
        </w:r>
        <w:r w:rsidR="005A69ED">
          <w:rPr>
            <w:webHidden/>
          </w:rPr>
          <w:instrText xml:space="preserve"> PAGEREF _Toc13845496 \h </w:instrText>
        </w:r>
        <w:r w:rsidR="005A69ED">
          <w:rPr>
            <w:webHidden/>
          </w:rPr>
        </w:r>
        <w:r w:rsidR="005A69ED">
          <w:rPr>
            <w:webHidden/>
          </w:rPr>
          <w:fldChar w:fldCharType="separate"/>
        </w:r>
        <w:r w:rsidR="005A69ED">
          <w:rPr>
            <w:webHidden/>
          </w:rPr>
          <w:t>49</w:t>
        </w:r>
        <w:r w:rsidR="005A69ED">
          <w:rPr>
            <w:webHidden/>
          </w:rPr>
          <w:fldChar w:fldCharType="end"/>
        </w:r>
      </w:hyperlink>
    </w:p>
    <w:p w14:paraId="0053901A" w14:textId="64797A1B" w:rsidR="005A69ED" w:rsidRDefault="004224E8">
      <w:pPr>
        <w:pStyle w:val="TOC2"/>
        <w:rPr>
          <w:rFonts w:asciiTheme="minorHAnsi" w:eastAsiaTheme="minorEastAsia" w:hAnsiTheme="minorHAnsi" w:cstheme="minorBidi"/>
          <w:bCs w:val="0"/>
          <w:szCs w:val="24"/>
        </w:rPr>
      </w:pPr>
      <w:hyperlink w:anchor="_Toc13845497" w:history="1">
        <w:r w:rsidR="005A69ED" w:rsidRPr="008722B9">
          <w:rPr>
            <w:rStyle w:val="Hyperlink"/>
          </w:rPr>
          <w:t>Meeting permanent Gypsy and Traveller pitch requirements</w:t>
        </w:r>
        <w:r w:rsidR="005A69ED">
          <w:rPr>
            <w:webHidden/>
          </w:rPr>
          <w:tab/>
        </w:r>
        <w:r w:rsidR="005A69ED">
          <w:rPr>
            <w:webHidden/>
          </w:rPr>
          <w:fldChar w:fldCharType="begin"/>
        </w:r>
        <w:r w:rsidR="005A69ED">
          <w:rPr>
            <w:webHidden/>
          </w:rPr>
          <w:instrText xml:space="preserve"> PAGEREF _Toc13845497 \h </w:instrText>
        </w:r>
        <w:r w:rsidR="005A69ED">
          <w:rPr>
            <w:webHidden/>
          </w:rPr>
        </w:r>
        <w:r w:rsidR="005A69ED">
          <w:rPr>
            <w:webHidden/>
          </w:rPr>
          <w:fldChar w:fldCharType="separate"/>
        </w:r>
        <w:r w:rsidR="005A69ED">
          <w:rPr>
            <w:webHidden/>
          </w:rPr>
          <w:t>49</w:t>
        </w:r>
        <w:r w:rsidR="005A69ED">
          <w:rPr>
            <w:webHidden/>
          </w:rPr>
          <w:fldChar w:fldCharType="end"/>
        </w:r>
      </w:hyperlink>
    </w:p>
    <w:p w14:paraId="20CBE0D5" w14:textId="09224C21" w:rsidR="005A69ED" w:rsidRDefault="004224E8">
      <w:pPr>
        <w:pStyle w:val="TOC2"/>
        <w:rPr>
          <w:rFonts w:asciiTheme="minorHAnsi" w:eastAsiaTheme="minorEastAsia" w:hAnsiTheme="minorHAnsi" w:cstheme="minorBidi"/>
          <w:bCs w:val="0"/>
          <w:szCs w:val="24"/>
        </w:rPr>
      </w:pPr>
      <w:hyperlink w:anchor="_Toc13845498" w:history="1">
        <w:r w:rsidR="005A69ED" w:rsidRPr="008722B9">
          <w:rPr>
            <w:rStyle w:val="Hyperlink"/>
          </w:rPr>
          <w:t>Meeting permanent Travelling Showperson requirements</w:t>
        </w:r>
        <w:r w:rsidR="005A69ED">
          <w:rPr>
            <w:webHidden/>
          </w:rPr>
          <w:tab/>
        </w:r>
        <w:r w:rsidR="005A69ED">
          <w:rPr>
            <w:webHidden/>
          </w:rPr>
          <w:fldChar w:fldCharType="begin"/>
        </w:r>
        <w:r w:rsidR="005A69ED">
          <w:rPr>
            <w:webHidden/>
          </w:rPr>
          <w:instrText xml:space="preserve"> PAGEREF _Toc13845498 \h </w:instrText>
        </w:r>
        <w:r w:rsidR="005A69ED">
          <w:rPr>
            <w:webHidden/>
          </w:rPr>
        </w:r>
        <w:r w:rsidR="005A69ED">
          <w:rPr>
            <w:webHidden/>
          </w:rPr>
          <w:fldChar w:fldCharType="separate"/>
        </w:r>
        <w:r w:rsidR="005A69ED">
          <w:rPr>
            <w:webHidden/>
          </w:rPr>
          <w:t>49</w:t>
        </w:r>
        <w:r w:rsidR="005A69ED">
          <w:rPr>
            <w:webHidden/>
          </w:rPr>
          <w:fldChar w:fldCharType="end"/>
        </w:r>
      </w:hyperlink>
    </w:p>
    <w:p w14:paraId="487D0560" w14:textId="57F4AA13" w:rsidR="005A69ED" w:rsidRDefault="004224E8">
      <w:pPr>
        <w:pStyle w:val="TOC2"/>
        <w:rPr>
          <w:rFonts w:asciiTheme="minorHAnsi" w:eastAsiaTheme="minorEastAsia" w:hAnsiTheme="minorHAnsi" w:cstheme="minorBidi"/>
          <w:bCs w:val="0"/>
          <w:szCs w:val="24"/>
        </w:rPr>
      </w:pPr>
      <w:hyperlink w:anchor="_Toc13845499" w:history="1">
        <w:r w:rsidR="005A69ED" w:rsidRPr="008722B9">
          <w:rPr>
            <w:rStyle w:val="Hyperlink"/>
          </w:rPr>
          <w:t>Houseboat need</w:t>
        </w:r>
        <w:r w:rsidR="005A69ED">
          <w:rPr>
            <w:webHidden/>
          </w:rPr>
          <w:tab/>
        </w:r>
        <w:r w:rsidR="005A69ED">
          <w:rPr>
            <w:webHidden/>
          </w:rPr>
          <w:fldChar w:fldCharType="begin"/>
        </w:r>
        <w:r w:rsidR="005A69ED">
          <w:rPr>
            <w:webHidden/>
          </w:rPr>
          <w:instrText xml:space="preserve"> PAGEREF _Toc13845499 \h </w:instrText>
        </w:r>
        <w:r w:rsidR="005A69ED">
          <w:rPr>
            <w:webHidden/>
          </w:rPr>
        </w:r>
        <w:r w:rsidR="005A69ED">
          <w:rPr>
            <w:webHidden/>
          </w:rPr>
          <w:fldChar w:fldCharType="separate"/>
        </w:r>
        <w:r w:rsidR="005A69ED">
          <w:rPr>
            <w:webHidden/>
          </w:rPr>
          <w:t>49</w:t>
        </w:r>
        <w:r w:rsidR="005A69ED">
          <w:rPr>
            <w:webHidden/>
          </w:rPr>
          <w:fldChar w:fldCharType="end"/>
        </w:r>
      </w:hyperlink>
    </w:p>
    <w:p w14:paraId="7F440C5D" w14:textId="0203EBAC" w:rsidR="005A69ED" w:rsidRDefault="004224E8">
      <w:pPr>
        <w:pStyle w:val="TOC2"/>
        <w:rPr>
          <w:rFonts w:asciiTheme="minorHAnsi" w:eastAsiaTheme="minorEastAsia" w:hAnsiTheme="minorHAnsi" w:cstheme="minorBidi"/>
          <w:bCs w:val="0"/>
          <w:szCs w:val="24"/>
        </w:rPr>
      </w:pPr>
      <w:hyperlink w:anchor="_Toc13845500" w:history="1">
        <w:r w:rsidR="005A69ED" w:rsidRPr="008722B9">
          <w:rPr>
            <w:rStyle w:val="Hyperlink"/>
          </w:rPr>
          <w:t>Meeting transit site/stop over requirements</w:t>
        </w:r>
        <w:r w:rsidR="005A69ED">
          <w:rPr>
            <w:webHidden/>
          </w:rPr>
          <w:tab/>
        </w:r>
        <w:r w:rsidR="005A69ED">
          <w:rPr>
            <w:webHidden/>
          </w:rPr>
          <w:fldChar w:fldCharType="begin"/>
        </w:r>
        <w:r w:rsidR="005A69ED">
          <w:rPr>
            <w:webHidden/>
          </w:rPr>
          <w:instrText xml:space="preserve"> PAGEREF _Toc13845500 \h </w:instrText>
        </w:r>
        <w:r w:rsidR="005A69ED">
          <w:rPr>
            <w:webHidden/>
          </w:rPr>
        </w:r>
        <w:r w:rsidR="005A69ED">
          <w:rPr>
            <w:webHidden/>
          </w:rPr>
          <w:fldChar w:fldCharType="separate"/>
        </w:r>
        <w:r w:rsidR="005A69ED">
          <w:rPr>
            <w:webHidden/>
          </w:rPr>
          <w:t>50</w:t>
        </w:r>
        <w:r w:rsidR="005A69ED">
          <w:rPr>
            <w:webHidden/>
          </w:rPr>
          <w:fldChar w:fldCharType="end"/>
        </w:r>
      </w:hyperlink>
    </w:p>
    <w:p w14:paraId="709B397A" w14:textId="61794519" w:rsidR="005A69ED" w:rsidRDefault="004224E8">
      <w:pPr>
        <w:pStyle w:val="TOC2"/>
        <w:rPr>
          <w:rFonts w:asciiTheme="minorHAnsi" w:eastAsiaTheme="minorEastAsia" w:hAnsiTheme="minorHAnsi" w:cstheme="minorBidi"/>
          <w:bCs w:val="0"/>
          <w:szCs w:val="24"/>
        </w:rPr>
      </w:pPr>
      <w:hyperlink w:anchor="_Toc13845501" w:history="1">
        <w:r w:rsidR="005A69ED" w:rsidRPr="008722B9">
          <w:rPr>
            <w:rStyle w:val="Hyperlink"/>
          </w:rPr>
          <w:t>Good practice in planning for Gypsy and Traveller provision</w:t>
        </w:r>
        <w:r w:rsidR="005A69ED">
          <w:rPr>
            <w:webHidden/>
          </w:rPr>
          <w:tab/>
        </w:r>
        <w:r w:rsidR="005A69ED">
          <w:rPr>
            <w:webHidden/>
          </w:rPr>
          <w:fldChar w:fldCharType="begin"/>
        </w:r>
        <w:r w:rsidR="005A69ED">
          <w:rPr>
            <w:webHidden/>
          </w:rPr>
          <w:instrText xml:space="preserve"> PAGEREF _Toc13845501 \h </w:instrText>
        </w:r>
        <w:r w:rsidR="005A69ED">
          <w:rPr>
            <w:webHidden/>
          </w:rPr>
        </w:r>
        <w:r w:rsidR="005A69ED">
          <w:rPr>
            <w:webHidden/>
          </w:rPr>
          <w:fldChar w:fldCharType="separate"/>
        </w:r>
        <w:r w:rsidR="005A69ED">
          <w:rPr>
            <w:webHidden/>
          </w:rPr>
          <w:t>50</w:t>
        </w:r>
        <w:r w:rsidR="005A69ED">
          <w:rPr>
            <w:webHidden/>
          </w:rPr>
          <w:fldChar w:fldCharType="end"/>
        </w:r>
      </w:hyperlink>
    </w:p>
    <w:p w14:paraId="0DF8FA87" w14:textId="5DAE5E5B" w:rsidR="005A69ED" w:rsidRDefault="004224E8">
      <w:pPr>
        <w:pStyle w:val="TOC2"/>
        <w:rPr>
          <w:rFonts w:asciiTheme="minorHAnsi" w:eastAsiaTheme="minorEastAsia" w:hAnsiTheme="minorHAnsi" w:cstheme="minorBidi"/>
          <w:bCs w:val="0"/>
          <w:szCs w:val="24"/>
        </w:rPr>
      </w:pPr>
      <w:hyperlink w:anchor="_Toc13845502" w:history="1">
        <w:r w:rsidR="005A69ED" w:rsidRPr="008722B9">
          <w:rPr>
            <w:rStyle w:val="Hyperlink"/>
          </w:rPr>
          <w:t>Concluding comments</w:t>
        </w:r>
        <w:r w:rsidR="005A69ED">
          <w:rPr>
            <w:webHidden/>
          </w:rPr>
          <w:tab/>
        </w:r>
        <w:r w:rsidR="005A69ED">
          <w:rPr>
            <w:webHidden/>
          </w:rPr>
          <w:fldChar w:fldCharType="begin"/>
        </w:r>
        <w:r w:rsidR="005A69ED">
          <w:rPr>
            <w:webHidden/>
          </w:rPr>
          <w:instrText xml:space="preserve"> PAGEREF _Toc13845502 \h </w:instrText>
        </w:r>
        <w:r w:rsidR="005A69ED">
          <w:rPr>
            <w:webHidden/>
          </w:rPr>
        </w:r>
        <w:r w:rsidR="005A69ED">
          <w:rPr>
            <w:webHidden/>
          </w:rPr>
          <w:fldChar w:fldCharType="separate"/>
        </w:r>
        <w:r w:rsidR="005A69ED">
          <w:rPr>
            <w:webHidden/>
          </w:rPr>
          <w:t>50</w:t>
        </w:r>
        <w:r w:rsidR="005A69ED">
          <w:rPr>
            <w:webHidden/>
          </w:rPr>
          <w:fldChar w:fldCharType="end"/>
        </w:r>
      </w:hyperlink>
    </w:p>
    <w:p w14:paraId="23AFD49A" w14:textId="2E5DBF86" w:rsidR="005A69ED" w:rsidRDefault="004224E8">
      <w:pPr>
        <w:pStyle w:val="TOC1"/>
        <w:rPr>
          <w:rFonts w:asciiTheme="minorHAnsi" w:eastAsiaTheme="minorEastAsia" w:hAnsiTheme="minorHAnsi" w:cstheme="minorBidi"/>
          <w:bCs w:val="0"/>
        </w:rPr>
      </w:pPr>
      <w:hyperlink w:anchor="_Toc13845503" w:history="1">
        <w:r w:rsidR="005A69ED" w:rsidRPr="008722B9">
          <w:rPr>
            <w:rStyle w:val="Hyperlink"/>
          </w:rPr>
          <w:t>Appendix A:  Legislative background</w:t>
        </w:r>
        <w:r w:rsidR="005A69ED">
          <w:rPr>
            <w:webHidden/>
          </w:rPr>
          <w:tab/>
        </w:r>
        <w:r w:rsidR="005A69ED">
          <w:rPr>
            <w:webHidden/>
          </w:rPr>
          <w:fldChar w:fldCharType="begin"/>
        </w:r>
        <w:r w:rsidR="005A69ED">
          <w:rPr>
            <w:webHidden/>
          </w:rPr>
          <w:instrText xml:space="preserve"> PAGEREF _Toc13845503 \h </w:instrText>
        </w:r>
        <w:r w:rsidR="005A69ED">
          <w:rPr>
            <w:webHidden/>
          </w:rPr>
        </w:r>
        <w:r w:rsidR="005A69ED">
          <w:rPr>
            <w:webHidden/>
          </w:rPr>
          <w:fldChar w:fldCharType="separate"/>
        </w:r>
        <w:r w:rsidR="005A69ED">
          <w:rPr>
            <w:webHidden/>
          </w:rPr>
          <w:t>51</w:t>
        </w:r>
        <w:r w:rsidR="005A69ED">
          <w:rPr>
            <w:webHidden/>
          </w:rPr>
          <w:fldChar w:fldCharType="end"/>
        </w:r>
      </w:hyperlink>
    </w:p>
    <w:p w14:paraId="2B7BDD55" w14:textId="689A84B8" w:rsidR="005A69ED" w:rsidRDefault="004224E8">
      <w:pPr>
        <w:pStyle w:val="TOC1"/>
        <w:rPr>
          <w:rFonts w:asciiTheme="minorHAnsi" w:eastAsiaTheme="minorEastAsia" w:hAnsiTheme="minorHAnsi" w:cstheme="minorBidi"/>
          <w:bCs w:val="0"/>
        </w:rPr>
      </w:pPr>
      <w:hyperlink w:anchor="_Toc13845504" w:history="1">
        <w:r w:rsidR="005A69ED" w:rsidRPr="008722B9">
          <w:rPr>
            <w:rStyle w:val="Hyperlink"/>
          </w:rPr>
          <w:t>Appendix B:  Review of policy, guidance and best practice</w:t>
        </w:r>
        <w:r w:rsidR="005A69ED">
          <w:rPr>
            <w:webHidden/>
          </w:rPr>
          <w:tab/>
        </w:r>
        <w:r w:rsidR="005A69ED">
          <w:rPr>
            <w:webHidden/>
          </w:rPr>
          <w:fldChar w:fldCharType="begin"/>
        </w:r>
        <w:r w:rsidR="005A69ED">
          <w:rPr>
            <w:webHidden/>
          </w:rPr>
          <w:instrText xml:space="preserve"> PAGEREF _Toc13845504 \h </w:instrText>
        </w:r>
        <w:r w:rsidR="005A69ED">
          <w:rPr>
            <w:webHidden/>
          </w:rPr>
        </w:r>
        <w:r w:rsidR="005A69ED">
          <w:rPr>
            <w:webHidden/>
          </w:rPr>
          <w:fldChar w:fldCharType="separate"/>
        </w:r>
        <w:r w:rsidR="005A69ED">
          <w:rPr>
            <w:webHidden/>
          </w:rPr>
          <w:t>54</w:t>
        </w:r>
        <w:r w:rsidR="005A69ED">
          <w:rPr>
            <w:webHidden/>
          </w:rPr>
          <w:fldChar w:fldCharType="end"/>
        </w:r>
      </w:hyperlink>
    </w:p>
    <w:p w14:paraId="49E6C0FF" w14:textId="2A18C4B7" w:rsidR="005A69ED" w:rsidRDefault="004224E8">
      <w:pPr>
        <w:pStyle w:val="TOC1"/>
        <w:rPr>
          <w:rFonts w:asciiTheme="minorHAnsi" w:eastAsiaTheme="minorEastAsia" w:hAnsiTheme="minorHAnsi" w:cstheme="minorBidi"/>
          <w:bCs w:val="0"/>
        </w:rPr>
      </w:pPr>
      <w:hyperlink w:anchor="_Toc13845505" w:history="1">
        <w:r w:rsidR="005A69ED" w:rsidRPr="008722B9">
          <w:rPr>
            <w:rStyle w:val="Hyperlink"/>
          </w:rPr>
          <w:t>Appendix C:  Fieldwork questionnaire for household survey</w:t>
        </w:r>
        <w:r w:rsidR="005A69ED">
          <w:rPr>
            <w:webHidden/>
          </w:rPr>
          <w:tab/>
        </w:r>
        <w:r w:rsidR="005A69ED">
          <w:rPr>
            <w:webHidden/>
          </w:rPr>
          <w:fldChar w:fldCharType="begin"/>
        </w:r>
        <w:r w:rsidR="005A69ED">
          <w:rPr>
            <w:webHidden/>
          </w:rPr>
          <w:instrText xml:space="preserve"> PAGEREF _Toc13845505 \h </w:instrText>
        </w:r>
        <w:r w:rsidR="005A69ED">
          <w:rPr>
            <w:webHidden/>
          </w:rPr>
        </w:r>
        <w:r w:rsidR="005A69ED">
          <w:rPr>
            <w:webHidden/>
          </w:rPr>
          <w:fldChar w:fldCharType="separate"/>
        </w:r>
        <w:r w:rsidR="005A69ED">
          <w:rPr>
            <w:webHidden/>
          </w:rPr>
          <w:t>66</w:t>
        </w:r>
        <w:r w:rsidR="005A69ED">
          <w:rPr>
            <w:webHidden/>
          </w:rPr>
          <w:fldChar w:fldCharType="end"/>
        </w:r>
      </w:hyperlink>
    </w:p>
    <w:p w14:paraId="3486DC8A" w14:textId="54752F75" w:rsidR="005A69ED" w:rsidRDefault="004224E8">
      <w:pPr>
        <w:pStyle w:val="TOC1"/>
        <w:rPr>
          <w:rFonts w:asciiTheme="minorHAnsi" w:eastAsiaTheme="minorEastAsia" w:hAnsiTheme="minorHAnsi" w:cstheme="minorBidi"/>
          <w:bCs w:val="0"/>
        </w:rPr>
      </w:pPr>
      <w:hyperlink w:anchor="_Toc13845506" w:history="1">
        <w:r w:rsidR="005A69ED" w:rsidRPr="008722B9">
          <w:rPr>
            <w:rStyle w:val="Hyperlink"/>
          </w:rPr>
          <w:t>Appendix D:  Glossary of terms</w:t>
        </w:r>
        <w:r w:rsidR="005A69ED">
          <w:rPr>
            <w:webHidden/>
          </w:rPr>
          <w:tab/>
        </w:r>
        <w:r w:rsidR="005A69ED">
          <w:rPr>
            <w:webHidden/>
          </w:rPr>
          <w:fldChar w:fldCharType="begin"/>
        </w:r>
        <w:r w:rsidR="005A69ED">
          <w:rPr>
            <w:webHidden/>
          </w:rPr>
          <w:instrText xml:space="preserve"> PAGEREF _Toc13845506 \h </w:instrText>
        </w:r>
        <w:r w:rsidR="005A69ED">
          <w:rPr>
            <w:webHidden/>
          </w:rPr>
        </w:r>
        <w:r w:rsidR="005A69ED">
          <w:rPr>
            <w:webHidden/>
          </w:rPr>
          <w:fldChar w:fldCharType="separate"/>
        </w:r>
        <w:r w:rsidR="005A69ED">
          <w:rPr>
            <w:webHidden/>
          </w:rPr>
          <w:t>70</w:t>
        </w:r>
        <w:r w:rsidR="005A69ED">
          <w:rPr>
            <w:webHidden/>
          </w:rPr>
          <w:fldChar w:fldCharType="end"/>
        </w:r>
      </w:hyperlink>
    </w:p>
    <w:p w14:paraId="5DB89A2F" w14:textId="778B0309" w:rsidR="00F3615C" w:rsidRPr="00DB5101" w:rsidRDefault="008F4DB3" w:rsidP="00DB5101">
      <w:pPr>
        <w:tabs>
          <w:tab w:val="left" w:pos="720"/>
          <w:tab w:val="right" w:leader="dot" w:pos="9072"/>
        </w:tabs>
        <w:ind w:left="720" w:right="-144" w:hanging="720"/>
        <w:rPr>
          <w:rFonts w:cs="Arial"/>
          <w:bCs/>
          <w:noProof/>
        </w:rPr>
      </w:pPr>
      <w:r>
        <w:rPr>
          <w:rFonts w:cs="Arial"/>
          <w:bCs/>
          <w:noProof/>
        </w:rPr>
        <w:fldChar w:fldCharType="end"/>
      </w:r>
    </w:p>
    <w:p w14:paraId="3DAB36BC" w14:textId="77777777" w:rsidR="0031285F" w:rsidRPr="00CD6B04" w:rsidRDefault="0031285F" w:rsidP="0031285F">
      <w:pPr>
        <w:pStyle w:val="TOCHeading1"/>
      </w:pPr>
      <w:r w:rsidRPr="00CD6B04">
        <w:t>List of Tables</w:t>
      </w:r>
    </w:p>
    <w:p w14:paraId="08C0D756" w14:textId="75BB6FDF" w:rsidR="005A69ED" w:rsidRDefault="00CC3E06">
      <w:pPr>
        <w:pStyle w:val="TOC1"/>
        <w:rPr>
          <w:rFonts w:asciiTheme="minorHAnsi" w:eastAsiaTheme="minorEastAsia" w:hAnsiTheme="minorHAnsi" w:cstheme="minorBidi"/>
          <w:bCs w:val="0"/>
        </w:rPr>
      </w:pPr>
      <w:r w:rsidRPr="00F22BA9">
        <w:fldChar w:fldCharType="begin"/>
      </w:r>
      <w:r w:rsidR="0031285F" w:rsidRPr="00F22BA9">
        <w:instrText xml:space="preserve"> TOC \h \z \t "tableheading,1" </w:instrText>
      </w:r>
      <w:r w:rsidRPr="00F22BA9">
        <w:fldChar w:fldCharType="separate"/>
      </w:r>
      <w:hyperlink w:anchor="_Toc13845507" w:history="1">
        <w:r w:rsidR="005A69ED" w:rsidRPr="00C540D5">
          <w:rPr>
            <w:rStyle w:val="Hyperlink"/>
          </w:rPr>
          <w:t>Table 3.1</w:t>
        </w:r>
        <w:r w:rsidR="005A69ED">
          <w:rPr>
            <w:rFonts w:asciiTheme="minorHAnsi" w:eastAsiaTheme="minorEastAsia" w:hAnsiTheme="minorHAnsi" w:cstheme="minorBidi"/>
            <w:bCs w:val="0"/>
          </w:rPr>
          <w:tab/>
        </w:r>
        <w:r w:rsidR="005A69ED" w:rsidRPr="00C540D5">
          <w:rPr>
            <w:rStyle w:val="Hyperlink"/>
          </w:rPr>
          <w:t>Responses achieved to the Household Survey 2018 by tenure and type of accommodation</w:t>
        </w:r>
        <w:r w:rsidR="005A69ED">
          <w:rPr>
            <w:webHidden/>
          </w:rPr>
          <w:tab/>
        </w:r>
        <w:r w:rsidR="005A69ED">
          <w:rPr>
            <w:webHidden/>
          </w:rPr>
          <w:fldChar w:fldCharType="begin"/>
        </w:r>
        <w:r w:rsidR="005A69ED">
          <w:rPr>
            <w:webHidden/>
          </w:rPr>
          <w:instrText xml:space="preserve"> PAGEREF _Toc13845507 \h </w:instrText>
        </w:r>
        <w:r w:rsidR="005A69ED">
          <w:rPr>
            <w:webHidden/>
          </w:rPr>
        </w:r>
        <w:r w:rsidR="005A69ED">
          <w:rPr>
            <w:webHidden/>
          </w:rPr>
          <w:fldChar w:fldCharType="separate"/>
        </w:r>
        <w:r w:rsidR="005A69ED">
          <w:rPr>
            <w:webHidden/>
          </w:rPr>
          <w:t>20</w:t>
        </w:r>
        <w:r w:rsidR="005A69ED">
          <w:rPr>
            <w:webHidden/>
          </w:rPr>
          <w:fldChar w:fldCharType="end"/>
        </w:r>
      </w:hyperlink>
    </w:p>
    <w:p w14:paraId="6911A547" w14:textId="777A3AE7" w:rsidR="005A69ED" w:rsidRDefault="004224E8">
      <w:pPr>
        <w:pStyle w:val="TOC1"/>
        <w:rPr>
          <w:rFonts w:asciiTheme="minorHAnsi" w:eastAsiaTheme="minorEastAsia" w:hAnsiTheme="minorHAnsi" w:cstheme="minorBidi"/>
          <w:bCs w:val="0"/>
        </w:rPr>
      </w:pPr>
      <w:hyperlink w:anchor="_Toc13845508" w:history="1">
        <w:r w:rsidR="005A69ED" w:rsidRPr="00C540D5">
          <w:rPr>
            <w:rStyle w:val="Hyperlink"/>
          </w:rPr>
          <w:t>Table 4.1a</w:t>
        </w:r>
        <w:r w:rsidR="005A69ED">
          <w:rPr>
            <w:rFonts w:asciiTheme="minorHAnsi" w:eastAsiaTheme="minorEastAsia" w:hAnsiTheme="minorHAnsi" w:cstheme="minorBidi"/>
            <w:bCs w:val="0"/>
          </w:rPr>
          <w:tab/>
        </w:r>
        <w:r w:rsidR="005A69ED" w:rsidRPr="00C540D5">
          <w:rPr>
            <w:rStyle w:val="Hyperlink"/>
          </w:rPr>
          <w:t>Households identifying as Gypsy Traveller by accommodation type</w:t>
        </w:r>
        <w:r w:rsidR="005A69ED">
          <w:rPr>
            <w:webHidden/>
          </w:rPr>
          <w:tab/>
        </w:r>
        <w:r w:rsidR="005A69ED">
          <w:rPr>
            <w:webHidden/>
          </w:rPr>
          <w:fldChar w:fldCharType="begin"/>
        </w:r>
        <w:r w:rsidR="005A69ED">
          <w:rPr>
            <w:webHidden/>
          </w:rPr>
          <w:instrText xml:space="preserve"> PAGEREF _Toc13845508 \h </w:instrText>
        </w:r>
        <w:r w:rsidR="005A69ED">
          <w:rPr>
            <w:webHidden/>
          </w:rPr>
        </w:r>
        <w:r w:rsidR="005A69ED">
          <w:rPr>
            <w:webHidden/>
          </w:rPr>
          <w:fldChar w:fldCharType="separate"/>
        </w:r>
        <w:r w:rsidR="005A69ED">
          <w:rPr>
            <w:webHidden/>
          </w:rPr>
          <w:t>23</w:t>
        </w:r>
        <w:r w:rsidR="005A69ED">
          <w:rPr>
            <w:webHidden/>
          </w:rPr>
          <w:fldChar w:fldCharType="end"/>
        </w:r>
      </w:hyperlink>
    </w:p>
    <w:p w14:paraId="64FE86FB" w14:textId="16116354" w:rsidR="005A69ED" w:rsidRDefault="004224E8">
      <w:pPr>
        <w:pStyle w:val="TOC1"/>
        <w:rPr>
          <w:rFonts w:asciiTheme="minorHAnsi" w:eastAsiaTheme="minorEastAsia" w:hAnsiTheme="minorHAnsi" w:cstheme="minorBidi"/>
          <w:bCs w:val="0"/>
        </w:rPr>
      </w:pPr>
      <w:hyperlink w:anchor="_Toc13845509" w:history="1">
        <w:r w:rsidR="005A69ED" w:rsidRPr="00C540D5">
          <w:rPr>
            <w:rStyle w:val="Hyperlink"/>
          </w:rPr>
          <w:t>Table 4.1b</w:t>
        </w:r>
        <w:r w:rsidR="005A69ED">
          <w:rPr>
            <w:rFonts w:asciiTheme="minorHAnsi" w:eastAsiaTheme="minorEastAsia" w:hAnsiTheme="minorHAnsi" w:cstheme="minorBidi"/>
            <w:bCs w:val="0"/>
          </w:rPr>
          <w:tab/>
        </w:r>
        <w:r w:rsidR="005A69ED" w:rsidRPr="00C540D5">
          <w:rPr>
            <w:rStyle w:val="Hyperlink"/>
          </w:rPr>
          <w:t>People from households identifying as WGoIT by accommodation type</w:t>
        </w:r>
        <w:r w:rsidR="005A69ED">
          <w:rPr>
            <w:webHidden/>
          </w:rPr>
          <w:tab/>
        </w:r>
        <w:r w:rsidR="005A69ED">
          <w:rPr>
            <w:webHidden/>
          </w:rPr>
          <w:fldChar w:fldCharType="begin"/>
        </w:r>
        <w:r w:rsidR="005A69ED">
          <w:rPr>
            <w:webHidden/>
          </w:rPr>
          <w:instrText xml:space="preserve"> PAGEREF _Toc13845509 \h </w:instrText>
        </w:r>
        <w:r w:rsidR="005A69ED">
          <w:rPr>
            <w:webHidden/>
          </w:rPr>
        </w:r>
        <w:r w:rsidR="005A69ED">
          <w:rPr>
            <w:webHidden/>
          </w:rPr>
          <w:fldChar w:fldCharType="separate"/>
        </w:r>
        <w:r w:rsidR="005A69ED">
          <w:rPr>
            <w:webHidden/>
          </w:rPr>
          <w:t>23</w:t>
        </w:r>
        <w:r w:rsidR="005A69ED">
          <w:rPr>
            <w:webHidden/>
          </w:rPr>
          <w:fldChar w:fldCharType="end"/>
        </w:r>
      </w:hyperlink>
    </w:p>
    <w:p w14:paraId="138D447F" w14:textId="27463412" w:rsidR="005A69ED" w:rsidRDefault="004224E8">
      <w:pPr>
        <w:pStyle w:val="TOC1"/>
        <w:rPr>
          <w:rFonts w:asciiTheme="minorHAnsi" w:eastAsiaTheme="minorEastAsia" w:hAnsiTheme="minorHAnsi" w:cstheme="minorBidi"/>
          <w:bCs w:val="0"/>
        </w:rPr>
      </w:pPr>
      <w:hyperlink w:anchor="_Toc13845510" w:history="1">
        <w:r w:rsidR="005A69ED" w:rsidRPr="00C540D5">
          <w:rPr>
            <w:rStyle w:val="Hyperlink"/>
          </w:rPr>
          <w:t>Table 4.1c</w:t>
        </w:r>
        <w:r w:rsidR="005A69ED">
          <w:rPr>
            <w:rFonts w:asciiTheme="minorHAnsi" w:eastAsiaTheme="minorEastAsia" w:hAnsiTheme="minorHAnsi" w:cstheme="minorBidi"/>
            <w:bCs w:val="0"/>
          </w:rPr>
          <w:tab/>
        </w:r>
        <w:r w:rsidR="005A69ED" w:rsidRPr="00C540D5">
          <w:rPr>
            <w:rStyle w:val="Hyperlink"/>
          </w:rPr>
          <w:t>People per Household, Calculation by Accommodation Type</w:t>
        </w:r>
        <w:r w:rsidR="005A69ED">
          <w:rPr>
            <w:webHidden/>
          </w:rPr>
          <w:tab/>
        </w:r>
        <w:r w:rsidR="005A69ED">
          <w:rPr>
            <w:webHidden/>
          </w:rPr>
          <w:fldChar w:fldCharType="begin"/>
        </w:r>
        <w:r w:rsidR="005A69ED">
          <w:rPr>
            <w:webHidden/>
          </w:rPr>
          <w:instrText xml:space="preserve"> PAGEREF _Toc13845510 \h </w:instrText>
        </w:r>
        <w:r w:rsidR="005A69ED">
          <w:rPr>
            <w:webHidden/>
          </w:rPr>
        </w:r>
        <w:r w:rsidR="005A69ED">
          <w:rPr>
            <w:webHidden/>
          </w:rPr>
          <w:fldChar w:fldCharType="separate"/>
        </w:r>
        <w:r w:rsidR="005A69ED">
          <w:rPr>
            <w:webHidden/>
          </w:rPr>
          <w:t>24</w:t>
        </w:r>
        <w:r w:rsidR="005A69ED">
          <w:rPr>
            <w:webHidden/>
          </w:rPr>
          <w:fldChar w:fldCharType="end"/>
        </w:r>
      </w:hyperlink>
    </w:p>
    <w:p w14:paraId="2D897289" w14:textId="61079A80" w:rsidR="005A69ED" w:rsidRDefault="004224E8">
      <w:pPr>
        <w:pStyle w:val="TOC1"/>
        <w:rPr>
          <w:rFonts w:asciiTheme="minorHAnsi" w:eastAsiaTheme="minorEastAsia" w:hAnsiTheme="minorHAnsi" w:cstheme="minorBidi"/>
          <w:bCs w:val="0"/>
        </w:rPr>
      </w:pPr>
      <w:hyperlink w:anchor="_Toc13845511" w:history="1">
        <w:r w:rsidR="005A69ED" w:rsidRPr="00C540D5">
          <w:rPr>
            <w:rStyle w:val="Hyperlink"/>
          </w:rPr>
          <w:t>Table 4.2</w:t>
        </w:r>
        <w:r w:rsidR="005A69ED">
          <w:rPr>
            <w:rFonts w:asciiTheme="minorHAnsi" w:eastAsiaTheme="minorEastAsia" w:hAnsiTheme="minorHAnsi" w:cstheme="minorBidi"/>
            <w:bCs w:val="0"/>
          </w:rPr>
          <w:tab/>
        </w:r>
        <w:r w:rsidR="005A69ED" w:rsidRPr="00C540D5">
          <w:rPr>
            <w:rStyle w:val="Hyperlink"/>
          </w:rPr>
          <w:t>Bi-annual Traveller caravan count figures January 2015 to July 2018</w:t>
        </w:r>
        <w:r w:rsidR="005A69ED">
          <w:rPr>
            <w:webHidden/>
          </w:rPr>
          <w:tab/>
        </w:r>
        <w:r w:rsidR="005A69ED">
          <w:rPr>
            <w:webHidden/>
          </w:rPr>
          <w:fldChar w:fldCharType="begin"/>
        </w:r>
        <w:r w:rsidR="005A69ED">
          <w:rPr>
            <w:webHidden/>
          </w:rPr>
          <w:instrText xml:space="preserve"> PAGEREF _Toc13845511 \h </w:instrText>
        </w:r>
        <w:r w:rsidR="005A69ED">
          <w:rPr>
            <w:webHidden/>
          </w:rPr>
        </w:r>
        <w:r w:rsidR="005A69ED">
          <w:rPr>
            <w:webHidden/>
          </w:rPr>
          <w:fldChar w:fldCharType="separate"/>
        </w:r>
        <w:r w:rsidR="005A69ED">
          <w:rPr>
            <w:webHidden/>
          </w:rPr>
          <w:t>25</w:t>
        </w:r>
        <w:r w:rsidR="005A69ED">
          <w:rPr>
            <w:webHidden/>
          </w:rPr>
          <w:fldChar w:fldCharType="end"/>
        </w:r>
      </w:hyperlink>
    </w:p>
    <w:p w14:paraId="0CFBC6AB" w14:textId="4B164137" w:rsidR="005A69ED" w:rsidRDefault="004224E8">
      <w:pPr>
        <w:pStyle w:val="TOC1"/>
        <w:rPr>
          <w:rFonts w:asciiTheme="minorHAnsi" w:eastAsiaTheme="minorEastAsia" w:hAnsiTheme="minorHAnsi" w:cstheme="minorBidi"/>
          <w:bCs w:val="0"/>
        </w:rPr>
      </w:pPr>
      <w:hyperlink w:anchor="_Toc13845512" w:history="1">
        <w:r w:rsidR="005A69ED" w:rsidRPr="00C540D5">
          <w:rPr>
            <w:rStyle w:val="Hyperlink"/>
          </w:rPr>
          <w:t>Table 4.3</w:t>
        </w:r>
        <w:r w:rsidR="005A69ED">
          <w:rPr>
            <w:rFonts w:asciiTheme="minorHAnsi" w:eastAsiaTheme="minorEastAsia" w:hAnsiTheme="minorHAnsi" w:cstheme="minorBidi"/>
            <w:bCs w:val="0"/>
          </w:rPr>
          <w:tab/>
        </w:r>
        <w:r w:rsidR="005A69ED" w:rsidRPr="00C540D5">
          <w:rPr>
            <w:rStyle w:val="Hyperlink"/>
          </w:rPr>
          <w:t>Annual Travelling Showpeople caravan count figures January 2014 to January 2018</w:t>
        </w:r>
        <w:r w:rsidR="005A69ED">
          <w:rPr>
            <w:webHidden/>
          </w:rPr>
          <w:tab/>
        </w:r>
        <w:r w:rsidR="005A69ED">
          <w:rPr>
            <w:webHidden/>
          </w:rPr>
          <w:fldChar w:fldCharType="begin"/>
        </w:r>
        <w:r w:rsidR="005A69ED">
          <w:rPr>
            <w:webHidden/>
          </w:rPr>
          <w:instrText xml:space="preserve"> PAGEREF _Toc13845512 \h </w:instrText>
        </w:r>
        <w:r w:rsidR="005A69ED">
          <w:rPr>
            <w:webHidden/>
          </w:rPr>
        </w:r>
        <w:r w:rsidR="005A69ED">
          <w:rPr>
            <w:webHidden/>
          </w:rPr>
          <w:fldChar w:fldCharType="separate"/>
        </w:r>
        <w:r w:rsidR="005A69ED">
          <w:rPr>
            <w:webHidden/>
          </w:rPr>
          <w:t>26</w:t>
        </w:r>
        <w:r w:rsidR="005A69ED">
          <w:rPr>
            <w:webHidden/>
          </w:rPr>
          <w:fldChar w:fldCharType="end"/>
        </w:r>
      </w:hyperlink>
    </w:p>
    <w:p w14:paraId="320139E1" w14:textId="57E6CD54" w:rsidR="005A69ED" w:rsidRDefault="004224E8">
      <w:pPr>
        <w:pStyle w:val="TOC1"/>
        <w:rPr>
          <w:rFonts w:asciiTheme="minorHAnsi" w:eastAsiaTheme="minorEastAsia" w:hAnsiTheme="minorHAnsi" w:cstheme="minorBidi"/>
          <w:bCs w:val="0"/>
        </w:rPr>
      </w:pPr>
      <w:hyperlink w:anchor="_Toc13845513" w:history="1">
        <w:r w:rsidR="005A69ED" w:rsidRPr="00C540D5">
          <w:rPr>
            <w:rStyle w:val="Hyperlink"/>
          </w:rPr>
          <w:t>Table 4.4</w:t>
        </w:r>
        <w:r w:rsidR="005A69ED">
          <w:rPr>
            <w:rFonts w:asciiTheme="minorHAnsi" w:eastAsiaTheme="minorEastAsia" w:hAnsiTheme="minorHAnsi" w:cstheme="minorBidi"/>
            <w:bCs w:val="0"/>
          </w:rPr>
          <w:tab/>
        </w:r>
        <w:r w:rsidR="005A69ED" w:rsidRPr="00C540D5">
          <w:rPr>
            <w:rStyle w:val="Hyperlink"/>
          </w:rPr>
          <w:t>List of Gypsy &amp; Traveller sites (as at February 2019)</w:t>
        </w:r>
        <w:r w:rsidR="005A69ED">
          <w:rPr>
            <w:webHidden/>
          </w:rPr>
          <w:tab/>
        </w:r>
        <w:r w:rsidR="005A69ED">
          <w:rPr>
            <w:webHidden/>
          </w:rPr>
          <w:fldChar w:fldCharType="begin"/>
        </w:r>
        <w:r w:rsidR="005A69ED">
          <w:rPr>
            <w:webHidden/>
          </w:rPr>
          <w:instrText xml:space="preserve"> PAGEREF _Toc13845513 \h </w:instrText>
        </w:r>
        <w:r w:rsidR="005A69ED">
          <w:rPr>
            <w:webHidden/>
          </w:rPr>
        </w:r>
        <w:r w:rsidR="005A69ED">
          <w:rPr>
            <w:webHidden/>
          </w:rPr>
          <w:fldChar w:fldCharType="separate"/>
        </w:r>
        <w:r w:rsidR="005A69ED">
          <w:rPr>
            <w:webHidden/>
          </w:rPr>
          <w:t>28</w:t>
        </w:r>
        <w:r w:rsidR="005A69ED">
          <w:rPr>
            <w:webHidden/>
          </w:rPr>
          <w:fldChar w:fldCharType="end"/>
        </w:r>
      </w:hyperlink>
    </w:p>
    <w:p w14:paraId="74164992" w14:textId="6092ECDF" w:rsidR="005A69ED" w:rsidRDefault="004224E8">
      <w:pPr>
        <w:pStyle w:val="TOC1"/>
        <w:rPr>
          <w:rFonts w:asciiTheme="minorHAnsi" w:eastAsiaTheme="minorEastAsia" w:hAnsiTheme="minorHAnsi" w:cstheme="minorBidi"/>
          <w:bCs w:val="0"/>
        </w:rPr>
      </w:pPr>
      <w:hyperlink w:anchor="_Toc13845514" w:history="1">
        <w:r w:rsidR="005A69ED" w:rsidRPr="00C540D5">
          <w:rPr>
            <w:rStyle w:val="Hyperlink"/>
            <w:lang w:eastAsia="en-GB"/>
          </w:rPr>
          <w:t>Table 7.1</w:t>
        </w:r>
        <w:r w:rsidR="005A69ED">
          <w:rPr>
            <w:rFonts w:asciiTheme="minorHAnsi" w:eastAsiaTheme="minorEastAsia" w:hAnsiTheme="minorHAnsi" w:cstheme="minorBidi"/>
            <w:bCs w:val="0"/>
          </w:rPr>
          <w:tab/>
        </w:r>
        <w:r w:rsidR="005A69ED" w:rsidRPr="00C540D5">
          <w:rPr>
            <w:rStyle w:val="Hyperlink"/>
            <w:lang w:eastAsia="en-GB"/>
          </w:rPr>
          <w:t>Summary of demand and supply factors: Gypsies and Travellers – 2018/19 to 2022/23</w:t>
        </w:r>
        <w:r w:rsidR="005A69ED">
          <w:rPr>
            <w:webHidden/>
          </w:rPr>
          <w:tab/>
        </w:r>
        <w:r w:rsidR="005A69ED">
          <w:rPr>
            <w:webHidden/>
          </w:rPr>
          <w:fldChar w:fldCharType="begin"/>
        </w:r>
        <w:r w:rsidR="005A69ED">
          <w:rPr>
            <w:webHidden/>
          </w:rPr>
          <w:instrText xml:space="preserve"> PAGEREF _Toc13845514 \h </w:instrText>
        </w:r>
        <w:r w:rsidR="005A69ED">
          <w:rPr>
            <w:webHidden/>
          </w:rPr>
        </w:r>
        <w:r w:rsidR="005A69ED">
          <w:rPr>
            <w:webHidden/>
          </w:rPr>
          <w:fldChar w:fldCharType="separate"/>
        </w:r>
        <w:r w:rsidR="005A69ED">
          <w:rPr>
            <w:webHidden/>
          </w:rPr>
          <w:t>43</w:t>
        </w:r>
        <w:r w:rsidR="005A69ED">
          <w:rPr>
            <w:webHidden/>
          </w:rPr>
          <w:fldChar w:fldCharType="end"/>
        </w:r>
      </w:hyperlink>
    </w:p>
    <w:p w14:paraId="16116844" w14:textId="130D258B" w:rsidR="005A69ED" w:rsidRDefault="004224E8">
      <w:pPr>
        <w:pStyle w:val="TOC1"/>
        <w:rPr>
          <w:rFonts w:asciiTheme="minorHAnsi" w:eastAsiaTheme="minorEastAsia" w:hAnsiTheme="minorHAnsi" w:cstheme="minorBidi"/>
          <w:bCs w:val="0"/>
        </w:rPr>
      </w:pPr>
      <w:hyperlink w:anchor="_Toc13845515" w:history="1">
        <w:r w:rsidR="005A69ED" w:rsidRPr="00C540D5">
          <w:rPr>
            <w:rStyle w:val="Hyperlink"/>
            <w:lang w:eastAsia="en-GB"/>
          </w:rPr>
          <w:t>Table 7.2</w:t>
        </w:r>
        <w:r w:rsidR="005A69ED">
          <w:rPr>
            <w:rFonts w:asciiTheme="minorHAnsi" w:eastAsiaTheme="minorEastAsia" w:hAnsiTheme="minorHAnsi" w:cstheme="minorBidi"/>
            <w:bCs w:val="0"/>
          </w:rPr>
          <w:tab/>
        </w:r>
        <w:r w:rsidR="005A69ED" w:rsidRPr="00C540D5">
          <w:rPr>
            <w:rStyle w:val="Hyperlink"/>
            <w:lang w:eastAsia="en-GB"/>
          </w:rPr>
          <w:t>Future pitch requirements based on the assumption that 50% of children form households on reaching 18</w:t>
        </w:r>
        <w:r w:rsidR="005A69ED">
          <w:rPr>
            <w:webHidden/>
          </w:rPr>
          <w:tab/>
        </w:r>
        <w:r w:rsidR="005A69ED">
          <w:rPr>
            <w:webHidden/>
          </w:rPr>
          <w:fldChar w:fldCharType="begin"/>
        </w:r>
        <w:r w:rsidR="005A69ED">
          <w:rPr>
            <w:webHidden/>
          </w:rPr>
          <w:instrText xml:space="preserve"> PAGEREF _Toc13845515 \h </w:instrText>
        </w:r>
        <w:r w:rsidR="005A69ED">
          <w:rPr>
            <w:webHidden/>
          </w:rPr>
        </w:r>
        <w:r w:rsidR="005A69ED">
          <w:rPr>
            <w:webHidden/>
          </w:rPr>
          <w:fldChar w:fldCharType="separate"/>
        </w:r>
        <w:r w:rsidR="005A69ED">
          <w:rPr>
            <w:webHidden/>
          </w:rPr>
          <w:t>44</w:t>
        </w:r>
        <w:r w:rsidR="005A69ED">
          <w:rPr>
            <w:webHidden/>
          </w:rPr>
          <w:fldChar w:fldCharType="end"/>
        </w:r>
      </w:hyperlink>
    </w:p>
    <w:p w14:paraId="34D9C6DB" w14:textId="3679CE56" w:rsidR="005A69ED" w:rsidRDefault="004224E8">
      <w:pPr>
        <w:pStyle w:val="TOC1"/>
        <w:rPr>
          <w:rFonts w:asciiTheme="minorHAnsi" w:eastAsiaTheme="minorEastAsia" w:hAnsiTheme="minorHAnsi" w:cstheme="minorBidi"/>
          <w:bCs w:val="0"/>
        </w:rPr>
      </w:pPr>
      <w:hyperlink w:anchor="_Toc13845516" w:history="1">
        <w:r w:rsidR="005A69ED" w:rsidRPr="00C540D5">
          <w:rPr>
            <w:rStyle w:val="Hyperlink"/>
            <w:lang w:eastAsia="en-GB"/>
          </w:rPr>
          <w:t>Table 7.3</w:t>
        </w:r>
        <w:r w:rsidR="005A69ED">
          <w:rPr>
            <w:rFonts w:asciiTheme="minorHAnsi" w:eastAsiaTheme="minorEastAsia" w:hAnsiTheme="minorHAnsi" w:cstheme="minorBidi"/>
            <w:bCs w:val="0"/>
          </w:rPr>
          <w:tab/>
        </w:r>
        <w:r w:rsidR="005A69ED" w:rsidRPr="00C540D5">
          <w:rPr>
            <w:rStyle w:val="Hyperlink"/>
            <w:lang w:eastAsia="en-GB"/>
          </w:rPr>
          <w:t>Remaining plan period Gypsy and Traveller pitch need</w:t>
        </w:r>
        <w:r w:rsidR="005A69ED">
          <w:rPr>
            <w:webHidden/>
          </w:rPr>
          <w:tab/>
        </w:r>
        <w:r w:rsidR="005A69ED">
          <w:rPr>
            <w:webHidden/>
          </w:rPr>
          <w:fldChar w:fldCharType="begin"/>
        </w:r>
        <w:r w:rsidR="005A69ED">
          <w:rPr>
            <w:webHidden/>
          </w:rPr>
          <w:instrText xml:space="preserve"> PAGEREF _Toc13845516 \h </w:instrText>
        </w:r>
        <w:r w:rsidR="005A69ED">
          <w:rPr>
            <w:webHidden/>
          </w:rPr>
        </w:r>
        <w:r w:rsidR="005A69ED">
          <w:rPr>
            <w:webHidden/>
          </w:rPr>
          <w:fldChar w:fldCharType="separate"/>
        </w:r>
        <w:r w:rsidR="005A69ED">
          <w:rPr>
            <w:webHidden/>
          </w:rPr>
          <w:t>45</w:t>
        </w:r>
        <w:r w:rsidR="005A69ED">
          <w:rPr>
            <w:webHidden/>
          </w:rPr>
          <w:fldChar w:fldCharType="end"/>
        </w:r>
      </w:hyperlink>
    </w:p>
    <w:p w14:paraId="21AE8458" w14:textId="7EC6C09D" w:rsidR="005A69ED" w:rsidRDefault="004224E8">
      <w:pPr>
        <w:pStyle w:val="TOC1"/>
        <w:rPr>
          <w:rFonts w:asciiTheme="minorHAnsi" w:eastAsiaTheme="minorEastAsia" w:hAnsiTheme="minorHAnsi" w:cstheme="minorBidi"/>
          <w:bCs w:val="0"/>
        </w:rPr>
      </w:pPr>
      <w:hyperlink w:anchor="_Toc13845517" w:history="1">
        <w:r w:rsidR="005A69ED" w:rsidRPr="00C540D5">
          <w:rPr>
            <w:rStyle w:val="Hyperlink"/>
            <w:lang w:eastAsia="en-GB"/>
          </w:rPr>
          <w:t>Table 7.5</w:t>
        </w:r>
        <w:r w:rsidR="005A69ED">
          <w:rPr>
            <w:rFonts w:asciiTheme="minorHAnsi" w:eastAsiaTheme="minorEastAsia" w:hAnsiTheme="minorHAnsi" w:cstheme="minorBidi"/>
            <w:bCs w:val="0"/>
          </w:rPr>
          <w:tab/>
        </w:r>
        <w:r w:rsidR="005A69ED" w:rsidRPr="00C540D5">
          <w:rPr>
            <w:rStyle w:val="Hyperlink"/>
            <w:lang w:eastAsia="en-GB"/>
          </w:rPr>
          <w:t>Addressing Gypsy and Traveller pitch need</w:t>
        </w:r>
        <w:r w:rsidR="005A69ED">
          <w:rPr>
            <w:webHidden/>
          </w:rPr>
          <w:tab/>
        </w:r>
        <w:r w:rsidR="005A69ED">
          <w:rPr>
            <w:webHidden/>
          </w:rPr>
          <w:fldChar w:fldCharType="begin"/>
        </w:r>
        <w:r w:rsidR="005A69ED">
          <w:rPr>
            <w:webHidden/>
          </w:rPr>
          <w:instrText xml:space="preserve"> PAGEREF _Toc13845517 \h </w:instrText>
        </w:r>
        <w:r w:rsidR="005A69ED">
          <w:rPr>
            <w:webHidden/>
          </w:rPr>
        </w:r>
        <w:r w:rsidR="005A69ED">
          <w:rPr>
            <w:webHidden/>
          </w:rPr>
          <w:fldChar w:fldCharType="separate"/>
        </w:r>
        <w:r w:rsidR="005A69ED">
          <w:rPr>
            <w:webHidden/>
          </w:rPr>
          <w:t>47</w:t>
        </w:r>
        <w:r w:rsidR="005A69ED">
          <w:rPr>
            <w:webHidden/>
          </w:rPr>
          <w:fldChar w:fldCharType="end"/>
        </w:r>
      </w:hyperlink>
    </w:p>
    <w:p w14:paraId="665904AA" w14:textId="307EBA61" w:rsidR="00494598" w:rsidRPr="00DA708B" w:rsidRDefault="00CC3E06" w:rsidP="00494598">
      <w:pPr>
        <w:tabs>
          <w:tab w:val="left" w:pos="720"/>
          <w:tab w:val="right" w:leader="dot" w:pos="9214"/>
        </w:tabs>
        <w:ind w:left="1680" w:right="-144" w:hanging="1680"/>
      </w:pPr>
      <w:r w:rsidRPr="00F22BA9">
        <w:fldChar w:fldCharType="end"/>
      </w:r>
    </w:p>
    <w:p w14:paraId="291819AA" w14:textId="4EE46CCE" w:rsidR="009954FF" w:rsidRDefault="009954FF" w:rsidP="009954FF">
      <w:pPr>
        <w:pStyle w:val="TOCHeading1"/>
      </w:pPr>
      <w:r>
        <w:t>List of Maps</w:t>
      </w:r>
    </w:p>
    <w:p w14:paraId="22E19C29" w14:textId="6EF74DB5" w:rsidR="005A69ED" w:rsidRDefault="00CC3E06">
      <w:pPr>
        <w:pStyle w:val="TOC1"/>
        <w:rPr>
          <w:rFonts w:asciiTheme="minorHAnsi" w:eastAsiaTheme="minorEastAsia" w:hAnsiTheme="minorHAnsi" w:cstheme="minorBidi"/>
          <w:bCs w:val="0"/>
        </w:rPr>
      </w:pPr>
      <w:r w:rsidRPr="00A7537C">
        <w:fldChar w:fldCharType="begin"/>
      </w:r>
      <w:r w:rsidR="009954FF" w:rsidRPr="00A7537C">
        <w:instrText xml:space="preserve"> TOC \h \z \t "mapheading,1" </w:instrText>
      </w:r>
      <w:r w:rsidRPr="00A7537C">
        <w:fldChar w:fldCharType="separate"/>
      </w:r>
      <w:hyperlink w:anchor="_Toc13845520" w:history="1">
        <w:r w:rsidR="005A69ED" w:rsidRPr="00CA3329">
          <w:rPr>
            <w:rStyle w:val="Hyperlink"/>
          </w:rPr>
          <w:t>Map 4.1</w:t>
        </w:r>
        <w:r w:rsidR="005A69ED">
          <w:rPr>
            <w:rFonts w:asciiTheme="minorHAnsi" w:eastAsiaTheme="minorEastAsia" w:hAnsiTheme="minorHAnsi" w:cstheme="minorBidi"/>
            <w:bCs w:val="0"/>
          </w:rPr>
          <w:tab/>
        </w:r>
        <w:r w:rsidR="005A69ED" w:rsidRPr="00CA3329">
          <w:rPr>
            <w:rStyle w:val="Hyperlink"/>
          </w:rPr>
          <w:t>Location of sites and yards in West Berkshire District</w:t>
        </w:r>
        <w:r w:rsidR="005A69ED">
          <w:rPr>
            <w:webHidden/>
          </w:rPr>
          <w:tab/>
        </w:r>
        <w:r w:rsidR="005A69ED">
          <w:rPr>
            <w:webHidden/>
          </w:rPr>
          <w:fldChar w:fldCharType="begin"/>
        </w:r>
        <w:r w:rsidR="005A69ED">
          <w:rPr>
            <w:webHidden/>
          </w:rPr>
          <w:instrText xml:space="preserve"> PAGEREF _Toc13845520 \h </w:instrText>
        </w:r>
        <w:r w:rsidR="005A69ED">
          <w:rPr>
            <w:webHidden/>
          </w:rPr>
        </w:r>
        <w:r w:rsidR="005A69ED">
          <w:rPr>
            <w:webHidden/>
          </w:rPr>
          <w:fldChar w:fldCharType="separate"/>
        </w:r>
        <w:r w:rsidR="005A69ED">
          <w:rPr>
            <w:webHidden/>
          </w:rPr>
          <w:t>29</w:t>
        </w:r>
        <w:r w:rsidR="005A69ED">
          <w:rPr>
            <w:webHidden/>
          </w:rPr>
          <w:fldChar w:fldCharType="end"/>
        </w:r>
      </w:hyperlink>
    </w:p>
    <w:p w14:paraId="5D274E3C" w14:textId="6CE18614" w:rsidR="009954FF" w:rsidRDefault="00CC3E06" w:rsidP="00E224DF">
      <w:pPr>
        <w:tabs>
          <w:tab w:val="left" w:pos="720"/>
          <w:tab w:val="right" w:leader="dot" w:pos="9214"/>
        </w:tabs>
        <w:ind w:left="1680" w:right="-144" w:hanging="1680"/>
        <w:rPr>
          <w:rFonts w:cs="Arial"/>
        </w:rPr>
      </w:pPr>
      <w:r w:rsidRPr="00A7537C">
        <w:rPr>
          <w:rFonts w:cs="Arial"/>
        </w:rPr>
        <w:fldChar w:fldCharType="end"/>
      </w:r>
    </w:p>
    <w:p w14:paraId="293EC324" w14:textId="77777777" w:rsidR="003F1E2F" w:rsidRDefault="003F1E2F">
      <w:pPr>
        <w:spacing w:before="0" w:after="0"/>
        <w:jc w:val="left"/>
        <w:rPr>
          <w:bCs/>
          <w:color w:val="009999"/>
          <w:kern w:val="32"/>
          <w:sz w:val="40"/>
          <w:szCs w:val="28"/>
        </w:rPr>
      </w:pPr>
      <w:bookmarkStart w:id="3" w:name="_Toc485383215"/>
      <w:bookmarkStart w:id="4" w:name="_Toc510091940"/>
      <w:bookmarkStart w:id="5" w:name="_Toc297239571"/>
      <w:bookmarkStart w:id="6" w:name="_Hlk485386745"/>
      <w:bookmarkEnd w:id="2"/>
      <w:r>
        <w:br w:type="page"/>
      </w:r>
    </w:p>
    <w:p w14:paraId="771A3FBD" w14:textId="0E09CE5F" w:rsidR="007629FE" w:rsidRPr="007629FE" w:rsidRDefault="007629FE" w:rsidP="007A2552">
      <w:pPr>
        <w:pStyle w:val="Heading1"/>
        <w:numPr>
          <w:ilvl w:val="0"/>
          <w:numId w:val="0"/>
        </w:numPr>
        <w:ind w:left="709" w:hanging="709"/>
      </w:pPr>
      <w:bookmarkStart w:id="7" w:name="_Toc13845452"/>
      <w:r w:rsidRPr="007629FE">
        <w:t>Executive Summary</w:t>
      </w:r>
      <w:bookmarkEnd w:id="3"/>
      <w:bookmarkEnd w:id="4"/>
      <w:bookmarkEnd w:id="7"/>
    </w:p>
    <w:p w14:paraId="450C1A70" w14:textId="77777777" w:rsidR="007629FE" w:rsidRPr="007629FE" w:rsidRDefault="007629FE" w:rsidP="00CC4316">
      <w:pPr>
        <w:pStyle w:val="Heading2"/>
        <w:ind w:left="709"/>
      </w:pPr>
      <w:bookmarkStart w:id="8" w:name="_Toc485376612"/>
      <w:bookmarkStart w:id="9" w:name="_Toc485383216"/>
      <w:bookmarkStart w:id="10" w:name="_Toc366511436"/>
      <w:bookmarkStart w:id="11" w:name="_Toc372188559"/>
      <w:bookmarkStart w:id="12" w:name="_Toc510091941"/>
      <w:bookmarkStart w:id="13" w:name="_Toc13845453"/>
      <w:r w:rsidRPr="00CC4316">
        <w:t>Introduction</w:t>
      </w:r>
      <w:bookmarkEnd w:id="8"/>
      <w:bookmarkEnd w:id="9"/>
      <w:bookmarkEnd w:id="10"/>
      <w:bookmarkEnd w:id="11"/>
      <w:bookmarkEnd w:id="12"/>
      <w:bookmarkEnd w:id="13"/>
    </w:p>
    <w:p w14:paraId="7C5F205D" w14:textId="2CE9BAF6" w:rsidR="007629FE" w:rsidRPr="00C72BE1" w:rsidRDefault="007629FE" w:rsidP="007629FE">
      <w:pPr>
        <w:tabs>
          <w:tab w:val="left" w:pos="709"/>
        </w:tabs>
        <w:rPr>
          <w:rFonts w:asciiTheme="minorHAnsi" w:hAnsiTheme="minorHAnsi"/>
        </w:rPr>
      </w:pPr>
      <w:r w:rsidRPr="007629FE">
        <w:rPr>
          <w:rFonts w:asciiTheme="minorHAnsi" w:hAnsiTheme="minorHAnsi"/>
        </w:rPr>
        <w:t xml:space="preserve">The </w:t>
      </w:r>
      <w:r w:rsidR="00EE6DA0">
        <w:rPr>
          <w:rFonts w:asciiTheme="minorHAnsi" w:hAnsiTheme="minorHAnsi"/>
        </w:rPr>
        <w:t>West Berkshire</w:t>
      </w:r>
      <w:r w:rsidRPr="00F3615C">
        <w:rPr>
          <w:rFonts w:asciiTheme="minorHAnsi" w:hAnsiTheme="minorHAnsi"/>
        </w:rPr>
        <w:t xml:space="preserve"> Gypsy and Traveller </w:t>
      </w:r>
      <w:r w:rsidRPr="00C72BE1">
        <w:rPr>
          <w:rFonts w:asciiTheme="minorHAnsi" w:hAnsiTheme="minorHAnsi"/>
        </w:rPr>
        <w:t xml:space="preserve">Accommodation Assessment (GTAA) analyses the </w:t>
      </w:r>
      <w:r w:rsidRPr="00934FFE">
        <w:rPr>
          <w:rFonts w:asciiTheme="minorHAnsi" w:hAnsiTheme="minorHAnsi"/>
        </w:rPr>
        <w:t xml:space="preserve">latest available evidence to </w:t>
      </w:r>
      <w:r w:rsidR="003E42B1" w:rsidRPr="00934FFE">
        <w:rPr>
          <w:rFonts w:asciiTheme="minorHAnsi" w:hAnsiTheme="minorHAnsi"/>
        </w:rPr>
        <w:t xml:space="preserve">specifically </w:t>
      </w:r>
      <w:r w:rsidRPr="00934FFE">
        <w:rPr>
          <w:rFonts w:asciiTheme="minorHAnsi" w:hAnsiTheme="minorHAnsi"/>
        </w:rPr>
        <w:t>identify the</w:t>
      </w:r>
      <w:r w:rsidR="005F7267" w:rsidRPr="00934FFE">
        <w:rPr>
          <w:rFonts w:asciiTheme="minorHAnsi" w:hAnsiTheme="minorHAnsi"/>
        </w:rPr>
        <w:t xml:space="preserve"> accommodation needs of Gypsies and Travellers</w:t>
      </w:r>
      <w:r w:rsidR="00D62120" w:rsidRPr="00934FFE">
        <w:rPr>
          <w:rFonts w:asciiTheme="minorHAnsi" w:hAnsiTheme="minorHAnsi"/>
        </w:rPr>
        <w:t xml:space="preserve">, Travelling Showpeople and houseboat dwellers </w:t>
      </w:r>
      <w:r w:rsidRPr="00934FFE">
        <w:rPr>
          <w:rFonts w:asciiTheme="minorHAnsi" w:hAnsiTheme="minorHAnsi"/>
        </w:rPr>
        <w:t xml:space="preserve">across the </w:t>
      </w:r>
      <w:r w:rsidR="00473EAA" w:rsidRPr="00934FFE">
        <w:rPr>
          <w:rFonts w:asciiTheme="minorHAnsi" w:hAnsiTheme="minorHAnsi"/>
        </w:rPr>
        <w:t>District</w:t>
      </w:r>
      <w:r w:rsidRPr="00934FFE">
        <w:rPr>
          <w:rFonts w:asciiTheme="minorHAnsi" w:hAnsiTheme="minorHAnsi"/>
        </w:rPr>
        <w:t>.</w:t>
      </w:r>
    </w:p>
    <w:p w14:paraId="68697C47" w14:textId="63396911" w:rsidR="007629FE" w:rsidRPr="00C72BE1" w:rsidRDefault="007629FE" w:rsidP="007629FE">
      <w:pPr>
        <w:tabs>
          <w:tab w:val="left" w:pos="709"/>
        </w:tabs>
        <w:rPr>
          <w:rFonts w:asciiTheme="minorHAnsi" w:hAnsiTheme="minorHAnsi"/>
        </w:rPr>
      </w:pPr>
      <w:r w:rsidRPr="00C72BE1">
        <w:rPr>
          <w:rFonts w:asciiTheme="minorHAnsi" w:hAnsiTheme="minorHAnsi"/>
        </w:rPr>
        <w:t xml:space="preserve">The </w:t>
      </w:r>
      <w:r w:rsidR="00EE6DA0">
        <w:rPr>
          <w:rFonts w:asciiTheme="minorHAnsi" w:hAnsiTheme="minorHAnsi"/>
        </w:rPr>
        <w:t>West Berkshire</w:t>
      </w:r>
      <w:r w:rsidRPr="00C72BE1">
        <w:rPr>
          <w:rFonts w:asciiTheme="minorHAnsi" w:hAnsiTheme="minorHAnsi"/>
        </w:rPr>
        <w:t xml:space="preserve"> </w:t>
      </w:r>
      <w:r w:rsidR="00F11E8F">
        <w:rPr>
          <w:rFonts w:asciiTheme="minorHAnsi" w:hAnsiTheme="minorHAnsi"/>
        </w:rPr>
        <w:t xml:space="preserve">District </w:t>
      </w:r>
      <w:r w:rsidRPr="00C72BE1">
        <w:rPr>
          <w:rFonts w:asciiTheme="minorHAnsi" w:hAnsiTheme="minorHAnsi"/>
        </w:rPr>
        <w:t>GTAA</w:t>
      </w:r>
      <w:r w:rsidR="009731BD">
        <w:rPr>
          <w:rFonts w:asciiTheme="minorHAnsi" w:hAnsiTheme="minorHAnsi"/>
        </w:rPr>
        <w:t xml:space="preserve"> </w:t>
      </w:r>
      <w:r w:rsidRPr="00C72BE1">
        <w:rPr>
          <w:rFonts w:asciiTheme="minorHAnsi" w:hAnsiTheme="minorHAnsi"/>
        </w:rPr>
        <w:t>(</w:t>
      </w:r>
      <w:r w:rsidR="001A1A0F" w:rsidRPr="00C72BE1">
        <w:rPr>
          <w:rFonts w:asciiTheme="minorHAnsi" w:hAnsiTheme="minorHAnsi"/>
        </w:rPr>
        <w:t>201</w:t>
      </w:r>
      <w:r w:rsidR="00AF21FD">
        <w:rPr>
          <w:rFonts w:asciiTheme="minorHAnsi" w:hAnsiTheme="minorHAnsi"/>
        </w:rPr>
        <w:t>9</w:t>
      </w:r>
      <w:r w:rsidRPr="00C72BE1">
        <w:rPr>
          <w:rFonts w:asciiTheme="minorHAnsi" w:hAnsiTheme="minorHAnsi"/>
        </w:rPr>
        <w:t>) has comprised the following evidence sources:</w:t>
      </w:r>
    </w:p>
    <w:p w14:paraId="52068843" w14:textId="77777777" w:rsidR="00D62120" w:rsidRDefault="007629FE" w:rsidP="007629FE">
      <w:pPr>
        <w:numPr>
          <w:ilvl w:val="0"/>
          <w:numId w:val="9"/>
        </w:numPr>
        <w:ind w:left="360"/>
        <w:rPr>
          <w:rFonts w:asciiTheme="minorHAnsi" w:hAnsiTheme="minorHAnsi"/>
        </w:rPr>
      </w:pPr>
      <w:r w:rsidRPr="003E42B1">
        <w:rPr>
          <w:rFonts w:asciiTheme="minorHAnsi" w:hAnsiTheme="minorHAnsi"/>
        </w:rPr>
        <w:t>A revi</w:t>
      </w:r>
      <w:r w:rsidR="003E42B1" w:rsidRPr="003E42B1">
        <w:rPr>
          <w:rFonts w:asciiTheme="minorHAnsi" w:hAnsiTheme="minorHAnsi"/>
        </w:rPr>
        <w:t xml:space="preserve">ew of existing (secondary) data; </w:t>
      </w:r>
    </w:p>
    <w:p w14:paraId="309B35E7" w14:textId="164F9B6E" w:rsidR="00AF21FD" w:rsidRDefault="00D62120" w:rsidP="00AF21FD">
      <w:pPr>
        <w:pStyle w:val="bullet"/>
        <w:ind w:left="360"/>
      </w:pPr>
      <w:r>
        <w:t>Intervie</w:t>
      </w:r>
      <w:r w:rsidRPr="000433D8">
        <w:t xml:space="preserve">ws </w:t>
      </w:r>
      <w:r w:rsidR="00AF21FD">
        <w:t>with Gypsy and Traveller households and household information obtained from local knowledge and planning application data and planning statements. Overall, data was obtained for 25 households living on pitches (a 69% response rate)</w:t>
      </w:r>
    </w:p>
    <w:p w14:paraId="5BC4785E" w14:textId="30B323DA" w:rsidR="00D62120" w:rsidRPr="00097554" w:rsidRDefault="00D62120" w:rsidP="00D62120">
      <w:pPr>
        <w:pStyle w:val="bullet"/>
        <w:ind w:left="360"/>
      </w:pPr>
      <w:r w:rsidRPr="00097554">
        <w:t xml:space="preserve">An online survey </w:t>
      </w:r>
      <w:r w:rsidR="00097554" w:rsidRPr="00097554">
        <w:t>achieving the views of 19</w:t>
      </w:r>
      <w:r w:rsidRPr="00097554">
        <w:t xml:space="preserve"> stakeholders.</w:t>
      </w:r>
    </w:p>
    <w:p w14:paraId="3E546534" w14:textId="7B5AD79F" w:rsidR="007629FE" w:rsidRPr="007629FE" w:rsidRDefault="007629FE" w:rsidP="007629FE">
      <w:pPr>
        <w:tabs>
          <w:tab w:val="left" w:pos="709"/>
        </w:tabs>
        <w:rPr>
          <w:rFonts w:asciiTheme="minorHAnsi" w:hAnsiTheme="minorHAnsi"/>
        </w:rPr>
      </w:pPr>
      <w:r w:rsidRPr="007629FE">
        <w:rPr>
          <w:rFonts w:asciiTheme="minorHAnsi" w:hAnsiTheme="minorHAnsi"/>
        </w:rPr>
        <w:t>This data has been analysed to provide a picture of current pr</w:t>
      </w:r>
      <w:r w:rsidR="00B24848">
        <w:rPr>
          <w:rFonts w:asciiTheme="minorHAnsi" w:hAnsiTheme="minorHAnsi"/>
        </w:rPr>
        <w:t xml:space="preserve">ovision and activity across </w:t>
      </w:r>
      <w:r w:rsidR="00EE6DA0">
        <w:rPr>
          <w:rFonts w:asciiTheme="minorHAnsi" w:hAnsiTheme="minorHAnsi"/>
        </w:rPr>
        <w:t>West Berkshire</w:t>
      </w:r>
      <w:r w:rsidR="00B24848">
        <w:rPr>
          <w:rFonts w:asciiTheme="minorHAnsi" w:hAnsiTheme="minorHAnsi"/>
        </w:rPr>
        <w:t xml:space="preserve"> </w:t>
      </w:r>
      <w:r w:rsidR="00473EAA">
        <w:rPr>
          <w:rFonts w:asciiTheme="minorHAnsi" w:hAnsiTheme="minorHAnsi"/>
        </w:rPr>
        <w:t>District</w:t>
      </w:r>
      <w:r w:rsidR="00B24848">
        <w:rPr>
          <w:rFonts w:asciiTheme="minorHAnsi" w:hAnsiTheme="minorHAnsi"/>
        </w:rPr>
        <w:t xml:space="preserve"> </w:t>
      </w:r>
      <w:r w:rsidRPr="007629FE">
        <w:rPr>
          <w:rFonts w:asciiTheme="minorHAnsi" w:hAnsiTheme="minorHAnsi"/>
        </w:rPr>
        <w:t>and an assessment of future need. The findings of the study provide an up-to-date, robust and defensible evidence base for policy development.</w:t>
      </w:r>
    </w:p>
    <w:p w14:paraId="57185B1A" w14:textId="447CF140" w:rsidR="00E42E8B" w:rsidRPr="007629FE" w:rsidRDefault="00E42E8B" w:rsidP="007629FE">
      <w:pPr>
        <w:tabs>
          <w:tab w:val="left" w:pos="0"/>
        </w:tabs>
        <w:rPr>
          <w:lang w:eastAsia="en-GB"/>
        </w:rPr>
      </w:pPr>
    </w:p>
    <w:p w14:paraId="1B3F3F55" w14:textId="77777777" w:rsidR="007629FE" w:rsidRPr="009E2018" w:rsidRDefault="007629FE" w:rsidP="00CC4316">
      <w:pPr>
        <w:pStyle w:val="Heading2"/>
        <w:ind w:left="709"/>
      </w:pPr>
      <w:bookmarkStart w:id="14" w:name="_Toc485376613"/>
      <w:bookmarkStart w:id="15" w:name="_Toc485383217"/>
      <w:bookmarkStart w:id="16" w:name="_Toc366511437"/>
      <w:bookmarkStart w:id="17" w:name="_Toc372188560"/>
      <w:bookmarkStart w:id="18" w:name="_Toc510091942"/>
      <w:bookmarkStart w:id="19" w:name="_Toc13845454"/>
      <w:r w:rsidRPr="009E2018">
        <w:t>Current provision and activity</w:t>
      </w:r>
      <w:bookmarkEnd w:id="14"/>
      <w:bookmarkEnd w:id="15"/>
      <w:bookmarkEnd w:id="16"/>
      <w:bookmarkEnd w:id="17"/>
      <w:bookmarkEnd w:id="18"/>
      <w:bookmarkEnd w:id="19"/>
    </w:p>
    <w:p w14:paraId="455DBD46" w14:textId="015A4295" w:rsidR="009C05C2" w:rsidRPr="001B63AA" w:rsidRDefault="007629FE" w:rsidP="007629FE">
      <w:pPr>
        <w:tabs>
          <w:tab w:val="left" w:pos="709"/>
        </w:tabs>
      </w:pPr>
      <w:r w:rsidRPr="001B63AA">
        <w:t xml:space="preserve">The 2011 Census identified a total of </w:t>
      </w:r>
      <w:r w:rsidR="00717928" w:rsidRPr="001B63AA">
        <w:t>63</w:t>
      </w:r>
      <w:r w:rsidRPr="001B63AA">
        <w:t xml:space="preserve"> households in </w:t>
      </w:r>
      <w:r w:rsidR="00EE6DA0" w:rsidRPr="001B63AA">
        <w:t>West Berkshire</w:t>
      </w:r>
      <w:r w:rsidRPr="001B63AA">
        <w:t xml:space="preserve"> </w:t>
      </w:r>
      <w:r w:rsidR="001A0EC3" w:rsidRPr="001B63AA">
        <w:t xml:space="preserve">District </w:t>
      </w:r>
      <w:r w:rsidRPr="001B63AA">
        <w:t xml:space="preserve">with a ‘White: Gypsy or Irish Traveller’ ethnicity. Of these, </w:t>
      </w:r>
      <w:r w:rsidR="001B63AA" w:rsidRPr="001B63AA">
        <w:t>19</w:t>
      </w:r>
      <w:r w:rsidRPr="001B63AA">
        <w:t xml:space="preserve"> households lived in a caravan or other mobile or temporary structure and </w:t>
      </w:r>
      <w:r w:rsidR="001B63AA" w:rsidRPr="001B63AA">
        <w:t>44</w:t>
      </w:r>
      <w:r w:rsidRPr="001B63AA">
        <w:t xml:space="preserve"> households lived in bricks and mortar (house, bungalow, flat, maisonette or apartment).</w:t>
      </w:r>
    </w:p>
    <w:p w14:paraId="5470B5B5" w14:textId="160E3532" w:rsidR="007629FE" w:rsidRPr="00D62120" w:rsidRDefault="007629FE" w:rsidP="007629FE">
      <w:pPr>
        <w:tabs>
          <w:tab w:val="left" w:pos="709"/>
        </w:tabs>
        <w:rPr>
          <w:highlight w:val="yellow"/>
        </w:rPr>
      </w:pPr>
      <w:r w:rsidRPr="001B63AA">
        <w:t xml:space="preserve">The bi-annual </w:t>
      </w:r>
      <w:r w:rsidR="00F904C6" w:rsidRPr="001B63AA">
        <w:t>Traveller Caravan C</w:t>
      </w:r>
      <w:r w:rsidRPr="001B63AA">
        <w:t xml:space="preserve">ount indicates an average of around </w:t>
      </w:r>
      <w:r w:rsidR="001B63AA" w:rsidRPr="001B63AA">
        <w:t>77</w:t>
      </w:r>
      <w:r w:rsidR="00E42E8B" w:rsidRPr="001B63AA">
        <w:t xml:space="preserve"> Traveller</w:t>
      </w:r>
      <w:r w:rsidRPr="001B63AA">
        <w:t xml:space="preserve"> caravans over the last </w:t>
      </w:r>
      <w:r w:rsidR="00E42E8B" w:rsidRPr="001B63AA">
        <w:t>seven</w:t>
      </w:r>
      <w:r w:rsidRPr="001B63AA">
        <w:t xml:space="preserve"> counts. Of these, around </w:t>
      </w:r>
      <w:r w:rsidR="001B63AA" w:rsidRPr="001B63AA">
        <w:t>24.5</w:t>
      </w:r>
      <w:r w:rsidR="006859E5" w:rsidRPr="001B63AA">
        <w:t>% are</w:t>
      </w:r>
      <w:r w:rsidRPr="001B63AA">
        <w:t xml:space="preserve"> on </w:t>
      </w:r>
      <w:r w:rsidR="00F904C6" w:rsidRPr="001B63AA">
        <w:t xml:space="preserve">authorised </w:t>
      </w:r>
      <w:r w:rsidR="00E42E8B" w:rsidRPr="001B63AA">
        <w:t>social rented</w:t>
      </w:r>
      <w:r w:rsidR="00F904C6" w:rsidRPr="001B63AA">
        <w:t xml:space="preserve"> </w:t>
      </w:r>
      <w:r w:rsidRPr="001B63AA">
        <w:t>sites</w:t>
      </w:r>
      <w:r w:rsidR="006859E5" w:rsidRPr="001B63AA">
        <w:t xml:space="preserve">, </w:t>
      </w:r>
      <w:r w:rsidR="001B63AA" w:rsidRPr="001B63AA">
        <w:t>74.9</w:t>
      </w:r>
      <w:r w:rsidR="006859E5" w:rsidRPr="001B63AA">
        <w:t xml:space="preserve">% </w:t>
      </w:r>
      <w:r w:rsidR="00E42E8B" w:rsidRPr="001B63AA">
        <w:t xml:space="preserve">are </w:t>
      </w:r>
      <w:r w:rsidR="006859E5" w:rsidRPr="001B63AA">
        <w:t xml:space="preserve">on </w:t>
      </w:r>
      <w:r w:rsidR="00E42E8B" w:rsidRPr="001B63AA">
        <w:t>private</w:t>
      </w:r>
      <w:r w:rsidR="00F904C6" w:rsidRPr="001B63AA">
        <w:t xml:space="preserve"> </w:t>
      </w:r>
      <w:r w:rsidR="006859E5" w:rsidRPr="001B63AA">
        <w:t>sites</w:t>
      </w:r>
      <w:r w:rsidRPr="001B63AA">
        <w:t xml:space="preserve"> and </w:t>
      </w:r>
      <w:r w:rsidR="001B63AA" w:rsidRPr="001B63AA">
        <w:t>0.6</w:t>
      </w:r>
      <w:r w:rsidR="006859E5" w:rsidRPr="001B63AA">
        <w:t>%</w:t>
      </w:r>
      <w:r w:rsidRPr="001B63AA">
        <w:t xml:space="preserve"> </w:t>
      </w:r>
      <w:r w:rsidR="00E42E8B" w:rsidRPr="001B63AA">
        <w:t xml:space="preserve">are </w:t>
      </w:r>
      <w:r w:rsidRPr="001B63AA">
        <w:t xml:space="preserve">on unauthorised sites. The annual Travelling Showperson </w:t>
      </w:r>
      <w:r w:rsidR="00F904C6" w:rsidRPr="001B63AA">
        <w:t>C</w:t>
      </w:r>
      <w:r w:rsidRPr="001B63AA">
        <w:t xml:space="preserve">aravan </w:t>
      </w:r>
      <w:r w:rsidR="00F904C6" w:rsidRPr="001B63AA">
        <w:t>C</w:t>
      </w:r>
      <w:r w:rsidRPr="001B63AA">
        <w:t>ount (undertaken each January) indi</w:t>
      </w:r>
      <w:r w:rsidR="007A1526" w:rsidRPr="001B63AA">
        <w:t xml:space="preserve">cates </w:t>
      </w:r>
      <w:r w:rsidR="00E42E8B" w:rsidRPr="001B63AA">
        <w:t xml:space="preserve">an average of </w:t>
      </w:r>
      <w:r w:rsidR="001B63AA" w:rsidRPr="001B63AA">
        <w:t>zero</w:t>
      </w:r>
      <w:r w:rsidR="00F904C6" w:rsidRPr="001B63AA">
        <w:t xml:space="preserve"> </w:t>
      </w:r>
      <w:r w:rsidRPr="001B63AA">
        <w:t>Travelling Showperson</w:t>
      </w:r>
      <w:r w:rsidR="00E42E8B" w:rsidRPr="001B63AA">
        <w:t xml:space="preserve"> caravans </w:t>
      </w:r>
      <w:r w:rsidR="00F904C6" w:rsidRPr="001B63AA">
        <w:t xml:space="preserve">in </w:t>
      </w:r>
      <w:r w:rsidRPr="001B63AA">
        <w:t xml:space="preserve">the past </w:t>
      </w:r>
      <w:r w:rsidR="00E42E8B" w:rsidRPr="001B63AA">
        <w:t>five counts (2014-2018</w:t>
      </w:r>
      <w:r w:rsidRPr="001B63AA">
        <w:t>).</w:t>
      </w:r>
    </w:p>
    <w:p w14:paraId="02F7CA2F" w14:textId="69D9E1AE" w:rsidR="007629FE" w:rsidRPr="001B63AA" w:rsidRDefault="007629FE" w:rsidP="007629FE">
      <w:pPr>
        <w:tabs>
          <w:tab w:val="left" w:pos="709"/>
        </w:tabs>
      </w:pPr>
      <w:r w:rsidRPr="001B63AA">
        <w:t xml:space="preserve">There </w:t>
      </w:r>
      <w:r w:rsidR="00F41A26" w:rsidRPr="001B63AA">
        <w:t xml:space="preserve">is </w:t>
      </w:r>
      <w:r w:rsidR="00F95B17" w:rsidRPr="001B63AA">
        <w:t>one</w:t>
      </w:r>
      <w:r w:rsidRPr="001B63AA">
        <w:t xml:space="preserve"> authorised permanent Council-owned Gypsy and Traveller site in </w:t>
      </w:r>
      <w:r w:rsidR="00EE6DA0" w:rsidRPr="001B63AA">
        <w:t>West Berkshire</w:t>
      </w:r>
      <w:r w:rsidR="00B24848" w:rsidRPr="001B63AA">
        <w:t xml:space="preserve"> </w:t>
      </w:r>
      <w:r w:rsidR="00473EAA" w:rsidRPr="001B63AA">
        <w:t>District</w:t>
      </w:r>
      <w:r w:rsidR="00B24848" w:rsidRPr="001B63AA">
        <w:t>.</w:t>
      </w:r>
      <w:r w:rsidR="003E42B1" w:rsidRPr="001B63AA">
        <w:t xml:space="preserve"> In addition, there are </w:t>
      </w:r>
      <w:r w:rsidR="001B63AA" w:rsidRPr="001B63AA">
        <w:t>two</w:t>
      </w:r>
      <w:r w:rsidRPr="001B63AA">
        <w:t xml:space="preserve"> authorised permanent private sites</w:t>
      </w:r>
      <w:r w:rsidR="001B63AA" w:rsidRPr="001B63AA">
        <w:t xml:space="preserve"> and one unauthorised site</w:t>
      </w:r>
      <w:r w:rsidR="003E42B1" w:rsidRPr="001B63AA">
        <w:t xml:space="preserve"> </w:t>
      </w:r>
    </w:p>
    <w:p w14:paraId="77140FFD" w14:textId="1AB27960" w:rsidR="007629FE" w:rsidRPr="008E6D8C" w:rsidRDefault="007629FE" w:rsidP="007629FE">
      <w:pPr>
        <w:tabs>
          <w:tab w:val="left" w:pos="709"/>
        </w:tabs>
        <w:rPr>
          <w:rFonts w:asciiTheme="minorHAnsi" w:hAnsiTheme="minorHAnsi"/>
          <w:color w:val="FF0000"/>
        </w:rPr>
      </w:pPr>
      <w:r w:rsidRPr="001B63AA">
        <w:rPr>
          <w:rFonts w:asciiTheme="minorHAnsi" w:hAnsiTheme="minorHAnsi"/>
        </w:rPr>
        <w:t xml:space="preserve">The triangulation of secondary data, Council records and fieldwork survey has identified a total of </w:t>
      </w:r>
      <w:r w:rsidR="001B63AA" w:rsidRPr="001B63AA">
        <w:rPr>
          <w:rFonts w:asciiTheme="minorHAnsi" w:hAnsiTheme="minorHAnsi"/>
        </w:rPr>
        <w:t>33</w:t>
      </w:r>
      <w:r w:rsidR="00AB6110" w:rsidRPr="001B63AA">
        <w:rPr>
          <w:rFonts w:asciiTheme="minorHAnsi" w:hAnsiTheme="minorHAnsi"/>
        </w:rPr>
        <w:t xml:space="preserve"> Gypsy and Traveller households living on </w:t>
      </w:r>
      <w:r w:rsidR="001B63AA" w:rsidRPr="001B63AA">
        <w:rPr>
          <w:rFonts w:asciiTheme="minorHAnsi" w:hAnsiTheme="minorHAnsi"/>
        </w:rPr>
        <w:t>33</w:t>
      </w:r>
      <w:r w:rsidRPr="001B63AA">
        <w:rPr>
          <w:rFonts w:asciiTheme="minorHAnsi" w:hAnsiTheme="minorHAnsi"/>
        </w:rPr>
        <w:t xml:space="preserve"> occupied </w:t>
      </w:r>
      <w:r w:rsidR="00AB6110" w:rsidRPr="001B63AA">
        <w:rPr>
          <w:rFonts w:asciiTheme="minorHAnsi" w:hAnsiTheme="minorHAnsi"/>
        </w:rPr>
        <w:t>pitches</w:t>
      </w:r>
      <w:r w:rsidR="003E42B1" w:rsidRPr="001B63AA">
        <w:rPr>
          <w:rFonts w:asciiTheme="minorHAnsi" w:hAnsiTheme="minorHAnsi"/>
        </w:rPr>
        <w:t xml:space="preserve"> across </w:t>
      </w:r>
      <w:r w:rsidR="00EE6DA0" w:rsidRPr="001B63AA">
        <w:rPr>
          <w:rFonts w:asciiTheme="minorHAnsi" w:hAnsiTheme="minorHAnsi"/>
        </w:rPr>
        <w:t>West Berkshire</w:t>
      </w:r>
      <w:r w:rsidR="003E42B1" w:rsidRPr="001B63AA">
        <w:rPr>
          <w:rFonts w:asciiTheme="minorHAnsi" w:hAnsiTheme="minorHAnsi"/>
        </w:rPr>
        <w:t xml:space="preserve"> District.</w:t>
      </w:r>
      <w:r w:rsidR="003E42B1">
        <w:rPr>
          <w:rFonts w:asciiTheme="minorHAnsi" w:hAnsiTheme="minorHAnsi"/>
        </w:rPr>
        <w:t xml:space="preserve"> </w:t>
      </w:r>
    </w:p>
    <w:p w14:paraId="5FFAD788" w14:textId="77777777" w:rsidR="003A7512" w:rsidRDefault="003A7512" w:rsidP="007629FE">
      <w:pPr>
        <w:tabs>
          <w:tab w:val="left" w:pos="709"/>
        </w:tabs>
        <w:rPr>
          <w:rFonts w:asciiTheme="minorHAnsi" w:hAnsiTheme="minorHAnsi"/>
        </w:rPr>
      </w:pPr>
    </w:p>
    <w:p w14:paraId="30977C87" w14:textId="3E911C63" w:rsidR="003A7512" w:rsidRPr="003A7512" w:rsidRDefault="003A7512" w:rsidP="00CC4316">
      <w:pPr>
        <w:pStyle w:val="Heading2"/>
        <w:ind w:left="709"/>
      </w:pPr>
      <w:bookmarkStart w:id="20" w:name="_Toc366511438"/>
      <w:bookmarkStart w:id="21" w:name="_Toc372188561"/>
      <w:bookmarkStart w:id="22" w:name="_Toc510091943"/>
      <w:bookmarkStart w:id="23" w:name="_Toc13845455"/>
      <w:r>
        <w:t>Planning policy requirements for needs assessments</w:t>
      </w:r>
      <w:bookmarkEnd w:id="20"/>
      <w:bookmarkEnd w:id="21"/>
      <w:bookmarkEnd w:id="22"/>
      <w:bookmarkEnd w:id="23"/>
    </w:p>
    <w:p w14:paraId="3FC4763C" w14:textId="7288270B" w:rsidR="00C43AFC" w:rsidRPr="003A7512" w:rsidRDefault="006A05CF" w:rsidP="00C43AFC">
      <w:pPr>
        <w:tabs>
          <w:tab w:val="left" w:pos="0"/>
        </w:tabs>
        <w:rPr>
          <w:lang w:eastAsia="en-GB"/>
        </w:rPr>
      </w:pPr>
      <w:r>
        <w:rPr>
          <w:lang w:eastAsia="en-GB"/>
        </w:rPr>
        <w:t>Planning policy for traveller sites (PPTS)</w:t>
      </w:r>
      <w:r w:rsidR="00500ACB">
        <w:rPr>
          <w:lang w:eastAsia="en-GB"/>
        </w:rPr>
        <w:t xml:space="preserve"> </w:t>
      </w:r>
      <w:r>
        <w:rPr>
          <w:lang w:eastAsia="en-GB"/>
        </w:rPr>
        <w:t xml:space="preserve">(first published in March 2012 and updated in August 2015) requires an assessment of the current needs of Gypsies and Travellers and Travelling Showpeople and a projection of future needs. </w:t>
      </w:r>
      <w:r w:rsidR="007629FE" w:rsidRPr="007629FE">
        <w:rPr>
          <w:lang w:eastAsia="en-GB"/>
        </w:rPr>
        <w:t xml:space="preserve">The calculation of pitch/plot requirements in the </w:t>
      </w:r>
      <w:r w:rsidR="007629FE" w:rsidRPr="006E765A">
        <w:rPr>
          <w:lang w:eastAsia="en-GB"/>
        </w:rPr>
        <w:t>GTAA</w:t>
      </w:r>
      <w:r w:rsidRPr="006E765A">
        <w:rPr>
          <w:lang w:eastAsia="en-GB"/>
        </w:rPr>
        <w:t xml:space="preserve"> 201</w:t>
      </w:r>
      <w:r w:rsidR="00D568D9" w:rsidRPr="006E765A">
        <w:rPr>
          <w:lang w:eastAsia="en-GB"/>
        </w:rPr>
        <w:t>9</w:t>
      </w:r>
      <w:r w:rsidR="007629FE" w:rsidRPr="007629FE">
        <w:rPr>
          <w:lang w:eastAsia="en-GB"/>
        </w:rPr>
        <w:t xml:space="preserve"> is based on </w:t>
      </w:r>
      <w:r w:rsidR="009A424F">
        <w:rPr>
          <w:lang w:eastAsia="en-GB"/>
        </w:rPr>
        <w:t xml:space="preserve">established </w:t>
      </w:r>
      <w:r w:rsidR="007629FE" w:rsidRPr="007629FE">
        <w:rPr>
          <w:lang w:eastAsia="en-GB"/>
        </w:rPr>
        <w:t xml:space="preserve">DCLG modelling </w:t>
      </w:r>
      <w:r w:rsidR="009A424F" w:rsidRPr="00C43AFC">
        <w:rPr>
          <w:lang w:eastAsia="en-GB"/>
        </w:rPr>
        <w:t xml:space="preserve">methodology, </w:t>
      </w:r>
      <w:r w:rsidR="007629FE" w:rsidRPr="00C43AFC">
        <w:rPr>
          <w:lang w:eastAsia="en-GB"/>
        </w:rPr>
        <w:t xml:space="preserve">as advocated in </w:t>
      </w:r>
      <w:r w:rsidR="007629FE" w:rsidRPr="00C43AFC">
        <w:rPr>
          <w:i/>
          <w:lang w:eastAsia="en-GB"/>
        </w:rPr>
        <w:t>Gypsy and Traveller Accommodation</w:t>
      </w:r>
      <w:r w:rsidR="00A03AA6">
        <w:rPr>
          <w:i/>
          <w:lang w:eastAsia="en-GB"/>
        </w:rPr>
        <w:t xml:space="preserve"> Needs</w:t>
      </w:r>
      <w:r w:rsidR="007629FE" w:rsidRPr="00C43AFC">
        <w:rPr>
          <w:i/>
          <w:lang w:eastAsia="en-GB"/>
        </w:rPr>
        <w:t xml:space="preserve"> Assessment Guidance</w:t>
      </w:r>
      <w:r w:rsidR="007629FE" w:rsidRPr="00C43AFC">
        <w:rPr>
          <w:lang w:eastAsia="en-GB"/>
        </w:rPr>
        <w:t xml:space="preserve"> (DCLG, 2007).</w:t>
      </w:r>
      <w:r w:rsidR="00C43AFC" w:rsidRPr="00C43AFC">
        <w:rPr>
          <w:lang w:eastAsia="en-GB"/>
        </w:rPr>
        <w:t xml:space="preserve"> Although this Guidance was formally </w:t>
      </w:r>
      <w:r w:rsidR="00C43AFC" w:rsidRPr="003A7512">
        <w:rPr>
          <w:lang w:eastAsia="en-GB"/>
        </w:rPr>
        <w:t xml:space="preserve">withdrawn in December 2016, in the absence of any updated guidance on the subject it continues to provide a </w:t>
      </w:r>
      <w:r w:rsidRPr="003A7512">
        <w:rPr>
          <w:lang w:eastAsia="en-GB"/>
        </w:rPr>
        <w:t xml:space="preserve">standard approach for needs modelling employed by most local planning authorities and </w:t>
      </w:r>
      <w:r w:rsidR="00C43AFC" w:rsidRPr="003A7512">
        <w:rPr>
          <w:lang w:eastAsia="en-GB"/>
        </w:rPr>
        <w:t xml:space="preserve">also confirmed by inspectors at public inquiries. </w:t>
      </w:r>
    </w:p>
    <w:p w14:paraId="7DC841D6" w14:textId="3DFE645E" w:rsidR="007629FE" w:rsidRPr="003A7512" w:rsidRDefault="009A424F" w:rsidP="007629FE">
      <w:pPr>
        <w:tabs>
          <w:tab w:val="left" w:pos="0"/>
        </w:tabs>
        <w:rPr>
          <w:lang w:eastAsia="en-GB"/>
        </w:rPr>
      </w:pPr>
      <w:r w:rsidRPr="003A7512">
        <w:rPr>
          <w:lang w:eastAsia="en-GB"/>
        </w:rPr>
        <w:t>This approach</w:t>
      </w:r>
      <w:r w:rsidR="007629FE" w:rsidRPr="003A7512">
        <w:rPr>
          <w:lang w:eastAsia="en-GB"/>
        </w:rPr>
        <w:t xml:space="preserve"> </w:t>
      </w:r>
      <w:r w:rsidRPr="003A7512">
        <w:rPr>
          <w:lang w:eastAsia="en-GB"/>
        </w:rPr>
        <w:t>comprises</w:t>
      </w:r>
      <w:r w:rsidR="007629FE" w:rsidRPr="003A7512">
        <w:rPr>
          <w:lang w:eastAsia="en-GB"/>
        </w:rPr>
        <w:t xml:space="preserve"> an assessment of the current needs of Gypsies and Travellers and Travelling Showpeople and a projection of future needs. The Guidance advocates the use of a fieldwork survey to supplement secondary source information and derive key supply and demand information.</w:t>
      </w:r>
    </w:p>
    <w:p w14:paraId="075A04F8" w14:textId="41090C91" w:rsidR="00D17934" w:rsidRPr="00F95B17" w:rsidRDefault="006A05CF" w:rsidP="007629FE">
      <w:pPr>
        <w:tabs>
          <w:tab w:val="left" w:pos="0"/>
        </w:tabs>
        <w:rPr>
          <w:lang w:eastAsia="en-GB"/>
        </w:rPr>
      </w:pPr>
      <w:r w:rsidRPr="003A7512">
        <w:rPr>
          <w:lang w:eastAsia="en-GB"/>
        </w:rPr>
        <w:t>A major change in planning policy,</w:t>
      </w:r>
      <w:r w:rsidR="00F05B1E">
        <w:rPr>
          <w:lang w:eastAsia="en-GB"/>
        </w:rPr>
        <w:t xml:space="preserve"> introduced by PPTS 2015, was the amended</w:t>
      </w:r>
      <w:r w:rsidRPr="003A7512">
        <w:rPr>
          <w:lang w:eastAsia="en-GB"/>
        </w:rPr>
        <w:t xml:space="preserve"> definition of the group to which the policy applies. The definitions of both ‘Gypsy and Traveller’ and ‘Travelling Showperson’ have been amended to exclude, for planning purposes, anyone who has stopped travelling on a perm</w:t>
      </w:r>
      <w:r w:rsidRPr="00D93A05">
        <w:rPr>
          <w:lang w:eastAsia="en-GB"/>
        </w:rPr>
        <w:t xml:space="preserve">anent basis. It continues to include those who have ceased to travel temporarily. </w:t>
      </w:r>
      <w:r w:rsidRPr="00F95B17">
        <w:rPr>
          <w:lang w:eastAsia="en-GB"/>
        </w:rPr>
        <w:t>Essentially, this created a more restricted ‘PPTS 2015’ definition</w:t>
      </w:r>
      <w:r w:rsidR="003A7512" w:rsidRPr="00F95B17">
        <w:rPr>
          <w:lang w:eastAsia="en-GB"/>
        </w:rPr>
        <w:t xml:space="preserve"> which applies to those who follow a nomadic habit of life.</w:t>
      </w:r>
      <w:r w:rsidR="00D17934" w:rsidRPr="00F95B17">
        <w:rPr>
          <w:lang w:eastAsia="en-GB"/>
        </w:rPr>
        <w:t xml:space="preserve"> </w:t>
      </w:r>
    </w:p>
    <w:p w14:paraId="635D2FC1" w14:textId="4C99DA44" w:rsidR="009A424F" w:rsidRPr="00F95B17" w:rsidRDefault="00D17934" w:rsidP="007629FE">
      <w:pPr>
        <w:tabs>
          <w:tab w:val="left" w:pos="0"/>
        </w:tabs>
        <w:rPr>
          <w:lang w:eastAsia="en-GB"/>
        </w:rPr>
      </w:pPr>
      <w:r w:rsidRPr="00F95B17">
        <w:rPr>
          <w:lang w:eastAsia="en-GB"/>
        </w:rPr>
        <w:t>The Revised National Planning Policy Framework (NPPF)</w:t>
      </w:r>
      <w:r w:rsidR="00500ACB" w:rsidRPr="00F95B17">
        <w:rPr>
          <w:lang w:eastAsia="en-GB"/>
        </w:rPr>
        <w:t xml:space="preserve"> </w:t>
      </w:r>
      <w:r w:rsidR="009731BD" w:rsidRPr="00F95B17">
        <w:rPr>
          <w:lang w:eastAsia="en-GB"/>
        </w:rPr>
        <w:t>of July</w:t>
      </w:r>
      <w:r w:rsidR="00F95B17" w:rsidRPr="00F95B17">
        <w:rPr>
          <w:lang w:eastAsia="en-GB"/>
        </w:rPr>
        <w:t xml:space="preserve"> 2018 (Paragraph 61</w:t>
      </w:r>
      <w:r w:rsidR="009731BD" w:rsidRPr="00F95B17">
        <w:rPr>
          <w:lang w:eastAsia="en-GB"/>
        </w:rPr>
        <w:t>)</w:t>
      </w:r>
      <w:r w:rsidRPr="00F95B17">
        <w:rPr>
          <w:lang w:eastAsia="en-GB"/>
        </w:rPr>
        <w:t xml:space="preserve"> requires local planning authorities to identify the size, type and tenure of homes required for different groups in the community,</w:t>
      </w:r>
      <w:r w:rsidR="00F95B17" w:rsidRPr="00F95B17">
        <w:rPr>
          <w:lang w:eastAsia="en-GB"/>
        </w:rPr>
        <w:t xml:space="preserve"> expressly including Travellers.</w:t>
      </w:r>
    </w:p>
    <w:p w14:paraId="3B45E4F8" w14:textId="6C160D0F" w:rsidR="003A7512" w:rsidRPr="00F11E8F" w:rsidRDefault="003A7512" w:rsidP="007629FE">
      <w:pPr>
        <w:tabs>
          <w:tab w:val="left" w:pos="0"/>
        </w:tabs>
        <w:rPr>
          <w:lang w:eastAsia="en-GB"/>
        </w:rPr>
      </w:pPr>
      <w:r w:rsidRPr="00F95B17">
        <w:rPr>
          <w:lang w:eastAsia="en-GB"/>
        </w:rPr>
        <w:t xml:space="preserve">As this study is based on comprehensive interviews with members of the Travelling community living within </w:t>
      </w:r>
      <w:r w:rsidR="00EE6DA0">
        <w:rPr>
          <w:lang w:eastAsia="en-GB"/>
        </w:rPr>
        <w:t>West Berkshire</w:t>
      </w:r>
      <w:r w:rsidR="00F11E8F" w:rsidRPr="00F95B17">
        <w:rPr>
          <w:lang w:eastAsia="en-GB"/>
        </w:rPr>
        <w:t xml:space="preserve"> District</w:t>
      </w:r>
      <w:r w:rsidRPr="00F95B17">
        <w:rPr>
          <w:lang w:eastAsia="en-GB"/>
        </w:rPr>
        <w:t>, it is possible for arc</w:t>
      </w:r>
      <w:r w:rsidRPr="00F95B17">
        <w:rPr>
          <w:vertAlign w:val="superscript"/>
          <w:lang w:eastAsia="en-GB"/>
        </w:rPr>
        <w:t>4</w:t>
      </w:r>
      <w:r w:rsidRPr="00F95B17">
        <w:rPr>
          <w:lang w:eastAsia="en-GB"/>
        </w:rPr>
        <w:t xml:space="preserve"> to determine through analysis which households meet the PPTS 2015 definition (on the basis of the travelling practices) and </w:t>
      </w:r>
      <w:r w:rsidR="00D17934" w:rsidRPr="00F95B17">
        <w:rPr>
          <w:lang w:eastAsia="en-GB"/>
        </w:rPr>
        <w:t>those who do not travel</w:t>
      </w:r>
      <w:r w:rsidR="00D17934" w:rsidRPr="00D93A05">
        <w:rPr>
          <w:lang w:eastAsia="en-GB"/>
        </w:rPr>
        <w:t xml:space="preserve"> b</w:t>
      </w:r>
      <w:r w:rsidR="009731BD">
        <w:rPr>
          <w:lang w:eastAsia="en-GB"/>
        </w:rPr>
        <w:t xml:space="preserve">ut fall under </w:t>
      </w:r>
      <w:r w:rsidR="00D62120">
        <w:rPr>
          <w:lang w:eastAsia="en-GB"/>
        </w:rPr>
        <w:t xml:space="preserve">a broader </w:t>
      </w:r>
      <w:r w:rsidR="00D17934" w:rsidRPr="00F11E8F">
        <w:rPr>
          <w:lang w:eastAsia="en-GB"/>
        </w:rPr>
        <w:t>‘cultural’ definition</w:t>
      </w:r>
      <w:r w:rsidRPr="00F11E8F">
        <w:rPr>
          <w:lang w:eastAsia="en-GB"/>
        </w:rPr>
        <w:t>.</w:t>
      </w:r>
    </w:p>
    <w:p w14:paraId="77EE5AE1" w14:textId="77777777" w:rsidR="003A7512" w:rsidRPr="00F11E8F" w:rsidRDefault="003A7512" w:rsidP="007629FE">
      <w:pPr>
        <w:tabs>
          <w:tab w:val="left" w:pos="0"/>
        </w:tabs>
        <w:rPr>
          <w:lang w:eastAsia="en-GB"/>
        </w:rPr>
      </w:pPr>
    </w:p>
    <w:p w14:paraId="0E2173AF" w14:textId="70ACCF3E" w:rsidR="003A7512" w:rsidRPr="00F11E8F" w:rsidRDefault="003A7512" w:rsidP="00CC4316">
      <w:pPr>
        <w:pStyle w:val="Heading2"/>
        <w:ind w:left="709"/>
      </w:pPr>
      <w:bookmarkStart w:id="24" w:name="_Toc485376614"/>
      <w:bookmarkStart w:id="25" w:name="_Toc485383218"/>
      <w:bookmarkStart w:id="26" w:name="_Toc366511439"/>
      <w:bookmarkStart w:id="27" w:name="_Toc372188562"/>
      <w:bookmarkStart w:id="28" w:name="_Toc510091944"/>
      <w:bookmarkStart w:id="29" w:name="_Toc13845456"/>
      <w:r w:rsidRPr="00F11E8F">
        <w:t>Gypsy and Traveller pitch requirements</w:t>
      </w:r>
      <w:bookmarkEnd w:id="24"/>
      <w:bookmarkEnd w:id="25"/>
      <w:bookmarkEnd w:id="26"/>
      <w:bookmarkEnd w:id="27"/>
      <w:bookmarkEnd w:id="28"/>
      <w:bookmarkEnd w:id="29"/>
    </w:p>
    <w:p w14:paraId="63B95FE9" w14:textId="15728194" w:rsidR="00AB6110" w:rsidRPr="001B63AA" w:rsidRDefault="007629FE" w:rsidP="00936365">
      <w:pPr>
        <w:tabs>
          <w:tab w:val="left" w:pos="0"/>
        </w:tabs>
        <w:rPr>
          <w:lang w:eastAsia="en-GB"/>
        </w:rPr>
      </w:pPr>
      <w:r w:rsidRPr="001B63AA">
        <w:rPr>
          <w:lang w:eastAsia="en-GB"/>
        </w:rPr>
        <w:t>The GTAA</w:t>
      </w:r>
      <w:r w:rsidR="009731BD" w:rsidRPr="001B63AA">
        <w:rPr>
          <w:lang w:eastAsia="en-GB"/>
        </w:rPr>
        <w:t xml:space="preserve"> </w:t>
      </w:r>
      <w:r w:rsidR="001A1A0F" w:rsidRPr="001B63AA">
        <w:rPr>
          <w:lang w:eastAsia="en-GB"/>
        </w:rPr>
        <w:t>201</w:t>
      </w:r>
      <w:r w:rsidR="00AF21FD">
        <w:rPr>
          <w:lang w:eastAsia="en-GB"/>
        </w:rPr>
        <w:t>9</w:t>
      </w:r>
      <w:r w:rsidRPr="001B63AA">
        <w:rPr>
          <w:lang w:eastAsia="en-GB"/>
        </w:rPr>
        <w:t xml:space="preserve"> </w:t>
      </w:r>
      <w:r w:rsidR="009A424F" w:rsidRPr="001B63AA">
        <w:rPr>
          <w:lang w:eastAsia="en-GB"/>
        </w:rPr>
        <w:t xml:space="preserve">has </w:t>
      </w:r>
      <w:r w:rsidRPr="001B63AA">
        <w:rPr>
          <w:lang w:eastAsia="en-GB"/>
        </w:rPr>
        <w:t xml:space="preserve">found evidence of </w:t>
      </w:r>
      <w:r w:rsidR="001B63AA" w:rsidRPr="001B63AA">
        <w:rPr>
          <w:lang w:eastAsia="en-GB"/>
        </w:rPr>
        <w:t xml:space="preserve">a need for </w:t>
      </w:r>
      <w:r w:rsidR="00AF21FD">
        <w:rPr>
          <w:lang w:eastAsia="en-GB"/>
        </w:rPr>
        <w:t>2</w:t>
      </w:r>
      <w:r w:rsidR="00787125">
        <w:rPr>
          <w:lang w:eastAsia="en-GB"/>
        </w:rPr>
        <w:t>0</w:t>
      </w:r>
      <w:r w:rsidR="001B63AA" w:rsidRPr="001B63AA">
        <w:rPr>
          <w:lang w:eastAsia="en-GB"/>
        </w:rPr>
        <w:t xml:space="preserve"> </w:t>
      </w:r>
      <w:r w:rsidRPr="001B63AA">
        <w:rPr>
          <w:lang w:eastAsia="en-GB"/>
        </w:rPr>
        <w:t>Gypsy and Traveller pitch need over the next five years (</w:t>
      </w:r>
      <w:r w:rsidR="00AB6110" w:rsidRPr="001B63AA">
        <w:rPr>
          <w:lang w:eastAsia="en-GB"/>
        </w:rPr>
        <w:t>2018/19</w:t>
      </w:r>
      <w:r w:rsidRPr="001B63AA">
        <w:rPr>
          <w:lang w:eastAsia="en-GB"/>
        </w:rPr>
        <w:t xml:space="preserve"> to </w:t>
      </w:r>
      <w:r w:rsidR="00AB6110" w:rsidRPr="001B63AA">
        <w:rPr>
          <w:lang w:eastAsia="en-GB"/>
        </w:rPr>
        <w:t>2022/23</w:t>
      </w:r>
      <w:r w:rsidR="009A424F" w:rsidRPr="001B63AA">
        <w:rPr>
          <w:lang w:eastAsia="en-GB"/>
        </w:rPr>
        <w:t>) under the</w:t>
      </w:r>
      <w:r w:rsidR="005A4C32" w:rsidRPr="001B63AA">
        <w:rPr>
          <w:lang w:eastAsia="en-GB"/>
        </w:rPr>
        <w:t xml:space="preserve"> cultural definition</w:t>
      </w:r>
      <w:r w:rsidR="00AD2F44" w:rsidRPr="001B63AA">
        <w:rPr>
          <w:lang w:eastAsia="en-GB"/>
        </w:rPr>
        <w:t xml:space="preserve"> and </w:t>
      </w:r>
      <w:r w:rsidR="001B63AA" w:rsidRPr="001B63AA">
        <w:rPr>
          <w:lang w:eastAsia="en-GB"/>
        </w:rPr>
        <w:t>1</w:t>
      </w:r>
      <w:r w:rsidR="00787125">
        <w:rPr>
          <w:lang w:eastAsia="en-GB"/>
        </w:rPr>
        <w:t>8</w:t>
      </w:r>
      <w:r w:rsidR="00AD2F44" w:rsidRPr="001B63AA">
        <w:rPr>
          <w:lang w:eastAsia="en-GB"/>
        </w:rPr>
        <w:t xml:space="preserve"> pitches </w:t>
      </w:r>
      <w:r w:rsidRPr="001B63AA">
        <w:rPr>
          <w:lang w:eastAsia="en-GB"/>
        </w:rPr>
        <w:t>under th</w:t>
      </w:r>
      <w:r w:rsidR="000768A4" w:rsidRPr="001B63AA">
        <w:rPr>
          <w:lang w:eastAsia="en-GB"/>
        </w:rPr>
        <w:t xml:space="preserve">e PPTS 2015 definition of Gypsy and </w:t>
      </w:r>
      <w:r w:rsidRPr="001B63AA">
        <w:rPr>
          <w:lang w:eastAsia="en-GB"/>
        </w:rPr>
        <w:t>Traveller</w:t>
      </w:r>
      <w:r w:rsidR="006131B3" w:rsidRPr="001B63AA">
        <w:rPr>
          <w:lang w:eastAsia="en-GB"/>
        </w:rPr>
        <w:t xml:space="preserve">. </w:t>
      </w:r>
      <w:r w:rsidR="00936365" w:rsidRPr="001B63AA">
        <w:rPr>
          <w:lang w:eastAsia="en-GB"/>
        </w:rPr>
        <w:t xml:space="preserve">For </w:t>
      </w:r>
      <w:r w:rsidR="00AD2F44" w:rsidRPr="001B63AA">
        <w:rPr>
          <w:lang w:eastAsia="en-GB"/>
        </w:rPr>
        <w:t>the period 20</w:t>
      </w:r>
      <w:r w:rsidR="001B63AA" w:rsidRPr="001B63AA">
        <w:rPr>
          <w:lang w:eastAsia="en-GB"/>
        </w:rPr>
        <w:t>23/24</w:t>
      </w:r>
      <w:r w:rsidR="00AD2F44" w:rsidRPr="001B63AA">
        <w:rPr>
          <w:lang w:eastAsia="en-GB"/>
        </w:rPr>
        <w:t xml:space="preserve"> to 2035/36, </w:t>
      </w:r>
      <w:r w:rsidRPr="001B63AA">
        <w:rPr>
          <w:lang w:eastAsia="en-GB"/>
        </w:rPr>
        <w:t>the GTAA has i</w:t>
      </w:r>
      <w:r w:rsidR="005A4C32" w:rsidRPr="001B63AA">
        <w:rPr>
          <w:lang w:eastAsia="en-GB"/>
        </w:rPr>
        <w:t xml:space="preserve">dentified a cultural </w:t>
      </w:r>
      <w:r w:rsidR="001B63AA" w:rsidRPr="001B63AA">
        <w:rPr>
          <w:lang w:eastAsia="en-GB"/>
        </w:rPr>
        <w:t xml:space="preserve">need for </w:t>
      </w:r>
      <w:r w:rsidR="00AF21FD">
        <w:rPr>
          <w:lang w:eastAsia="en-GB"/>
        </w:rPr>
        <w:t>31</w:t>
      </w:r>
      <w:r w:rsidR="001B63AA" w:rsidRPr="001B63AA">
        <w:rPr>
          <w:lang w:eastAsia="en-GB"/>
        </w:rPr>
        <w:t xml:space="preserve"> pitches and a </w:t>
      </w:r>
      <w:r w:rsidR="00AD2F44" w:rsidRPr="001B63AA">
        <w:rPr>
          <w:lang w:eastAsia="en-GB"/>
        </w:rPr>
        <w:t xml:space="preserve">PPTS </w:t>
      </w:r>
      <w:r w:rsidR="005A4C32" w:rsidRPr="001B63AA">
        <w:rPr>
          <w:lang w:eastAsia="en-GB"/>
        </w:rPr>
        <w:t xml:space="preserve">need for </w:t>
      </w:r>
      <w:r w:rsidR="00AF21FD">
        <w:rPr>
          <w:lang w:eastAsia="en-GB"/>
        </w:rPr>
        <w:t>30</w:t>
      </w:r>
      <w:r w:rsidR="00AD2F44" w:rsidRPr="001B63AA">
        <w:rPr>
          <w:lang w:eastAsia="en-GB"/>
        </w:rPr>
        <w:t xml:space="preserve"> pitches. </w:t>
      </w:r>
      <w:r w:rsidR="004D0FAA">
        <w:rPr>
          <w:lang w:eastAsia="en-GB"/>
        </w:rPr>
        <w:t xml:space="preserve">The overall plan period need 2018/19 to 2035/36 is </w:t>
      </w:r>
      <w:r w:rsidR="00AF21FD">
        <w:rPr>
          <w:lang w:eastAsia="en-GB"/>
        </w:rPr>
        <w:t>5</w:t>
      </w:r>
      <w:r w:rsidR="00787125">
        <w:rPr>
          <w:lang w:eastAsia="en-GB"/>
        </w:rPr>
        <w:t>1</w:t>
      </w:r>
      <w:r w:rsidR="004D0FAA">
        <w:rPr>
          <w:lang w:eastAsia="en-GB"/>
        </w:rPr>
        <w:t xml:space="preserve"> (cultural) and </w:t>
      </w:r>
      <w:r w:rsidR="00AF21FD">
        <w:rPr>
          <w:lang w:eastAsia="en-GB"/>
        </w:rPr>
        <w:t>4</w:t>
      </w:r>
      <w:r w:rsidR="00787125">
        <w:rPr>
          <w:lang w:eastAsia="en-GB"/>
        </w:rPr>
        <w:t>8</w:t>
      </w:r>
      <w:r w:rsidR="004D0FAA">
        <w:rPr>
          <w:lang w:eastAsia="en-GB"/>
        </w:rPr>
        <w:t xml:space="preserve"> (PPTS)</w:t>
      </w:r>
      <w:r w:rsidR="00AF21FD">
        <w:rPr>
          <w:lang w:eastAsia="en-GB"/>
        </w:rPr>
        <w:t>.</w:t>
      </w:r>
    </w:p>
    <w:p w14:paraId="15B74A81" w14:textId="5C539147" w:rsidR="00787125" w:rsidRDefault="00AF21FD" w:rsidP="00936365">
      <w:pPr>
        <w:tabs>
          <w:tab w:val="left" w:pos="0"/>
        </w:tabs>
        <w:rPr>
          <w:lang w:eastAsia="en-GB"/>
        </w:rPr>
      </w:pPr>
      <w:r>
        <w:rPr>
          <w:lang w:eastAsia="en-GB"/>
        </w:rPr>
        <w:t xml:space="preserve">The study considered </w:t>
      </w:r>
      <w:r w:rsidR="0048335C">
        <w:rPr>
          <w:lang w:eastAsia="en-GB"/>
        </w:rPr>
        <w:t xml:space="preserve">potential pitch supply through </w:t>
      </w:r>
      <w:r>
        <w:rPr>
          <w:lang w:eastAsia="en-GB"/>
        </w:rPr>
        <w:t>turnover on the Council site</w:t>
      </w:r>
      <w:r w:rsidR="0048335C">
        <w:rPr>
          <w:lang w:eastAsia="en-GB"/>
        </w:rPr>
        <w:t xml:space="preserve"> and </w:t>
      </w:r>
      <w:r>
        <w:rPr>
          <w:lang w:eastAsia="en-GB"/>
        </w:rPr>
        <w:t xml:space="preserve">intensification/expansion of existing authorised sites. Turnover </w:t>
      </w:r>
      <w:r w:rsidR="00787125">
        <w:rPr>
          <w:lang w:eastAsia="en-GB"/>
        </w:rPr>
        <w:t xml:space="preserve">on the Council site </w:t>
      </w:r>
      <w:r>
        <w:rPr>
          <w:lang w:eastAsia="en-GB"/>
        </w:rPr>
        <w:t xml:space="preserve">cannot be assessed at present given the refurbishment work ongoing; intensification/expansion was </w:t>
      </w:r>
      <w:r w:rsidR="00787125">
        <w:rPr>
          <w:lang w:eastAsia="en-GB"/>
        </w:rPr>
        <w:t xml:space="preserve">generally </w:t>
      </w:r>
      <w:r>
        <w:rPr>
          <w:lang w:eastAsia="en-GB"/>
        </w:rPr>
        <w:t xml:space="preserve">not an option on existing authorised sites. </w:t>
      </w:r>
      <w:r w:rsidR="0048335C">
        <w:rPr>
          <w:lang w:eastAsia="en-GB"/>
        </w:rPr>
        <w:t>The study</w:t>
      </w:r>
      <w:r w:rsidR="00787125">
        <w:rPr>
          <w:lang w:eastAsia="en-GB"/>
        </w:rPr>
        <w:t xml:space="preserve"> has </w:t>
      </w:r>
      <w:r w:rsidR="0048335C">
        <w:rPr>
          <w:lang w:eastAsia="en-GB"/>
        </w:rPr>
        <w:t xml:space="preserve">also </w:t>
      </w:r>
      <w:r w:rsidR="00787125">
        <w:rPr>
          <w:lang w:eastAsia="en-GB"/>
        </w:rPr>
        <w:t xml:space="preserve">considered </w:t>
      </w:r>
      <w:r w:rsidR="0048335C">
        <w:rPr>
          <w:lang w:eastAsia="en-GB"/>
        </w:rPr>
        <w:t xml:space="preserve">turnover on the private site </w:t>
      </w:r>
      <w:r w:rsidR="00787125" w:rsidRPr="00FE1557">
        <w:rPr>
          <w:lang w:eastAsia="en-GB"/>
        </w:rPr>
        <w:t>Paices</w:t>
      </w:r>
      <w:r w:rsidR="00787125">
        <w:rPr>
          <w:lang w:eastAsia="en-GB"/>
        </w:rPr>
        <w:t xml:space="preserve"> Hill. </w:t>
      </w:r>
      <w:r w:rsidR="0048335C">
        <w:rPr>
          <w:lang w:eastAsia="en-GB"/>
        </w:rPr>
        <w:t xml:space="preserve">Usually  turnover on private sites is not considered but given the ability of households to move on and off Paices Hill and the size of the site, this is an important element of supply. Therefore analysis assumes a turnover of 1.6 pitches each year on Paices Hill and it is recommended that the council monitor turnover on the site going forward. </w:t>
      </w:r>
      <w:r w:rsidR="00787125">
        <w:rPr>
          <w:lang w:eastAsia="en-GB"/>
        </w:rPr>
        <w:t xml:space="preserve">The development of new sites would also help address the shortfalls identified. </w:t>
      </w:r>
    </w:p>
    <w:p w14:paraId="26DD33C7" w14:textId="4D7DF702" w:rsidR="00787125" w:rsidRPr="00F74E16" w:rsidRDefault="00787125" w:rsidP="00936365">
      <w:pPr>
        <w:tabs>
          <w:tab w:val="left" w:pos="0"/>
        </w:tabs>
        <w:rPr>
          <w:lang w:eastAsia="en-GB"/>
        </w:rPr>
      </w:pPr>
      <w:r w:rsidRPr="00F74E16">
        <w:rPr>
          <w:lang w:eastAsia="en-GB"/>
        </w:rPr>
        <w:t>If turnover was considered, the overall pitch shortfall would reduce to:</w:t>
      </w:r>
    </w:p>
    <w:p w14:paraId="1EE8CEDE" w14:textId="6354C6A7" w:rsidR="00787125" w:rsidRPr="00F74E16" w:rsidRDefault="00787125" w:rsidP="003F1E2F">
      <w:pPr>
        <w:pStyle w:val="bullet"/>
        <w:ind w:left="360"/>
        <w:rPr>
          <w:lang w:eastAsia="en-GB"/>
        </w:rPr>
      </w:pPr>
      <w:r w:rsidRPr="00F74E16">
        <w:rPr>
          <w:lang w:eastAsia="en-GB"/>
        </w:rPr>
        <w:t xml:space="preserve">Over the 5 years 2018/19 to 2022/23  </w:t>
      </w:r>
      <w:r w:rsidR="00F74E16" w:rsidRPr="00F74E16">
        <w:rPr>
          <w:lang w:eastAsia="en-GB"/>
        </w:rPr>
        <w:t>12</w:t>
      </w:r>
      <w:r w:rsidRPr="00F74E16">
        <w:rPr>
          <w:lang w:eastAsia="en-GB"/>
        </w:rPr>
        <w:t xml:space="preserve"> cultural and </w:t>
      </w:r>
      <w:r w:rsidR="00F74E16" w:rsidRPr="00F74E16">
        <w:rPr>
          <w:lang w:eastAsia="en-GB"/>
        </w:rPr>
        <w:t>10</w:t>
      </w:r>
      <w:r w:rsidRPr="00F74E16">
        <w:rPr>
          <w:lang w:eastAsia="en-GB"/>
        </w:rPr>
        <w:t xml:space="preserve"> PPTS:</w:t>
      </w:r>
    </w:p>
    <w:p w14:paraId="140D0557" w14:textId="2787D6A1" w:rsidR="00787125" w:rsidRDefault="00787125" w:rsidP="003F1E2F">
      <w:pPr>
        <w:pStyle w:val="bullet"/>
        <w:ind w:left="360"/>
        <w:rPr>
          <w:lang w:eastAsia="en-GB"/>
        </w:rPr>
      </w:pPr>
      <w:r w:rsidRPr="00F74E16">
        <w:rPr>
          <w:lang w:eastAsia="en-GB"/>
        </w:rPr>
        <w:t xml:space="preserve">Over the plan period 2018/19 to 2035/36 </w:t>
      </w:r>
      <w:r w:rsidR="00F74E16" w:rsidRPr="00F74E16">
        <w:rPr>
          <w:lang w:eastAsia="en-GB"/>
        </w:rPr>
        <w:t>22</w:t>
      </w:r>
      <w:r w:rsidRPr="00F74E16">
        <w:rPr>
          <w:lang w:eastAsia="en-GB"/>
        </w:rPr>
        <w:t xml:space="preserve"> cultural and </w:t>
      </w:r>
      <w:r w:rsidR="00F74E16" w:rsidRPr="00F74E16">
        <w:rPr>
          <w:lang w:eastAsia="en-GB"/>
        </w:rPr>
        <w:t>19</w:t>
      </w:r>
      <w:r w:rsidRPr="00F74E16">
        <w:rPr>
          <w:lang w:eastAsia="en-GB"/>
        </w:rPr>
        <w:t xml:space="preserve"> PPTS</w:t>
      </w:r>
    </w:p>
    <w:p w14:paraId="23F8A73E" w14:textId="77777777" w:rsidR="00F74E16" w:rsidRDefault="00F74E16" w:rsidP="00F74E16">
      <w:pPr>
        <w:pStyle w:val="Reporttext"/>
        <w:numPr>
          <w:ilvl w:val="0"/>
          <w:numId w:val="0"/>
        </w:numPr>
        <w:ind w:left="709" w:hanging="709"/>
      </w:pPr>
      <w:r w:rsidRPr="00F404C0">
        <w:t xml:space="preserve">It is recommended that future policy work acknowledges this range of need. </w:t>
      </w:r>
    </w:p>
    <w:p w14:paraId="214195DD" w14:textId="77777777" w:rsidR="00F74E16" w:rsidRPr="00F74E16" w:rsidRDefault="00F74E16" w:rsidP="00F74E16">
      <w:pPr>
        <w:pStyle w:val="bullet"/>
        <w:numPr>
          <w:ilvl w:val="0"/>
          <w:numId w:val="0"/>
        </w:numPr>
        <w:rPr>
          <w:lang w:eastAsia="en-GB"/>
        </w:rPr>
      </w:pPr>
    </w:p>
    <w:p w14:paraId="5BBA3E5A" w14:textId="77777777" w:rsidR="00F74E16" w:rsidRDefault="00F74E16" w:rsidP="00CC4316">
      <w:pPr>
        <w:pStyle w:val="Heading2"/>
        <w:ind w:left="709"/>
      </w:pPr>
      <w:bookmarkStart w:id="30" w:name="_Toc485376616"/>
      <w:bookmarkStart w:id="31" w:name="_Toc485383220"/>
      <w:bookmarkStart w:id="32" w:name="_Toc366511441"/>
      <w:bookmarkStart w:id="33" w:name="_Toc372188564"/>
    </w:p>
    <w:p w14:paraId="343BA0C2" w14:textId="74D99F1E" w:rsidR="009E7AB7" w:rsidRDefault="00D62120" w:rsidP="00CC4316">
      <w:pPr>
        <w:pStyle w:val="Heading2"/>
        <w:ind w:left="709"/>
      </w:pPr>
      <w:bookmarkStart w:id="34" w:name="_Toc13845457"/>
      <w:r>
        <w:t>Travelling Showperson plot requirements</w:t>
      </w:r>
      <w:bookmarkEnd w:id="34"/>
    </w:p>
    <w:p w14:paraId="5A8176F4" w14:textId="7E28593A" w:rsidR="001B63AA" w:rsidRPr="002D6298" w:rsidRDefault="001B63AA" w:rsidP="0014458C">
      <w:r w:rsidRPr="002D6298">
        <w:t xml:space="preserve">There is currently one Showperson’s Yard in the district which is located at </w:t>
      </w:r>
      <w:r w:rsidRPr="00002E31">
        <w:t>Long</w:t>
      </w:r>
      <w:r w:rsidR="00002E31" w:rsidRPr="00002E31">
        <w:t xml:space="preserve"> C</w:t>
      </w:r>
      <w:r w:rsidRPr="00002E31">
        <w:t>opse</w:t>
      </w:r>
      <w:r w:rsidRPr="002D6298">
        <w:t xml:space="preserve"> Farm. The 2015 GTAA identified a need at the time for 24 Travelling Showperson plots and a yard was granted planning permission. However, as evidenced in the Travelling Showperson Caravan Count, there </w:t>
      </w:r>
      <w:r w:rsidR="004D0FAA">
        <w:t xml:space="preserve">have </w:t>
      </w:r>
      <w:r w:rsidR="008E4089">
        <w:t xml:space="preserve">been </w:t>
      </w:r>
      <w:r w:rsidR="008E4089" w:rsidRPr="002D6298">
        <w:t>no</w:t>
      </w:r>
      <w:r w:rsidRPr="002D6298">
        <w:t xml:space="preserve"> caravans </w:t>
      </w:r>
      <w:r w:rsidR="004D0FAA">
        <w:t>reported</w:t>
      </w:r>
      <w:r w:rsidRPr="002D6298">
        <w:t xml:space="preserve"> within West Berkshire over the past 5 years. </w:t>
      </w:r>
    </w:p>
    <w:p w14:paraId="6057ACBF" w14:textId="7B68FE12" w:rsidR="001B63AA" w:rsidRPr="002D6298" w:rsidRDefault="001B63AA" w:rsidP="0014458C">
      <w:r w:rsidRPr="002D6298">
        <w:t xml:space="preserve">It transpires that the yard is used for storage </w:t>
      </w:r>
      <w:r w:rsidR="002D6298" w:rsidRPr="002D6298">
        <w:t xml:space="preserve">and there is currently no intention to develop the land for residential use. </w:t>
      </w:r>
      <w:r w:rsidRPr="002D6298">
        <w:t xml:space="preserve"> </w:t>
      </w:r>
      <w:r w:rsidR="002D6298" w:rsidRPr="002D6298">
        <w:t xml:space="preserve">Therefore, </w:t>
      </w:r>
      <w:r w:rsidR="002D6298" w:rsidRPr="006E765A">
        <w:t>the 201</w:t>
      </w:r>
      <w:r w:rsidR="00D568D9" w:rsidRPr="006E765A">
        <w:t>9</w:t>
      </w:r>
      <w:r w:rsidR="00D568D9">
        <w:t xml:space="preserve"> </w:t>
      </w:r>
      <w:r w:rsidR="002D6298" w:rsidRPr="002D6298">
        <w:t xml:space="preserve">GTAA concludes there is no additional need for Travelling Showperson yards and any need that does arise can be addressed on the </w:t>
      </w:r>
      <w:r w:rsidR="002D6298" w:rsidRPr="00002E31">
        <w:t>Long</w:t>
      </w:r>
      <w:r w:rsidR="00002E31" w:rsidRPr="00002E31">
        <w:t xml:space="preserve"> C</w:t>
      </w:r>
      <w:r w:rsidR="002D6298" w:rsidRPr="00002E31">
        <w:t>opse</w:t>
      </w:r>
      <w:r w:rsidR="002D6298" w:rsidRPr="002D6298">
        <w:t xml:space="preserve"> yard. </w:t>
      </w:r>
    </w:p>
    <w:p w14:paraId="1C9E9303" w14:textId="77777777" w:rsidR="00167371" w:rsidRPr="00DD1894" w:rsidRDefault="00167371" w:rsidP="0014458C"/>
    <w:p w14:paraId="67CCED90" w14:textId="77777777" w:rsidR="00C021C2" w:rsidRPr="004D0FAA" w:rsidRDefault="00C021C2" w:rsidP="00CC4316">
      <w:pPr>
        <w:pStyle w:val="Heading2"/>
        <w:ind w:left="709"/>
      </w:pPr>
      <w:bookmarkStart w:id="35" w:name="_Toc13845458"/>
      <w:bookmarkEnd w:id="30"/>
      <w:bookmarkEnd w:id="31"/>
      <w:bookmarkEnd w:id="32"/>
      <w:bookmarkEnd w:id="33"/>
      <w:r w:rsidRPr="004D0FAA">
        <w:t>Meeting transit site/stop over requirements</w:t>
      </w:r>
      <w:bookmarkEnd w:id="35"/>
      <w:r w:rsidRPr="004D0FAA">
        <w:t xml:space="preserve"> </w:t>
      </w:r>
    </w:p>
    <w:p w14:paraId="30191903" w14:textId="28538012" w:rsidR="00FA5945" w:rsidRDefault="004D0FAA" w:rsidP="004D0FAA">
      <w:pPr>
        <w:pStyle w:val="Reporttext"/>
        <w:numPr>
          <w:ilvl w:val="0"/>
          <w:numId w:val="0"/>
        </w:numPr>
      </w:pPr>
      <w:r w:rsidRPr="004D0FAA">
        <w:t xml:space="preserve">Given the level of unauthorised encampment and the need expressed by the community, it is recommended that the Council considers the need for transit pitches. </w:t>
      </w:r>
      <w:r>
        <w:t>Data w</w:t>
      </w:r>
      <w:r w:rsidR="00C8306B">
        <w:t>as</w:t>
      </w:r>
      <w:r>
        <w:t xml:space="preserve"> not available on the number of caravans on unauthorised encampments, but observations of unauthorised encampments and views of the Gypsy and Traveller community would suggest that a </w:t>
      </w:r>
      <w:r w:rsidR="00B665FB">
        <w:t>4-pitch</w:t>
      </w:r>
      <w:r>
        <w:t xml:space="preserve"> site (which could accommodate up to 8 caravans) would be appropriate. </w:t>
      </w:r>
      <w:r w:rsidRPr="004D0FAA">
        <w:t>Additionally, a tolerated stopping policy could be considered, where Travellers can be directed to appropriate locations to temporarily stop over with support if it is required</w:t>
      </w:r>
      <w:r w:rsidR="00FA5945">
        <w:t>.</w:t>
      </w:r>
    </w:p>
    <w:p w14:paraId="7E76A128" w14:textId="281179CA" w:rsidR="00FA5945" w:rsidRDefault="00FA5945" w:rsidP="004D0FAA">
      <w:pPr>
        <w:pStyle w:val="Reporttext"/>
        <w:numPr>
          <w:ilvl w:val="0"/>
          <w:numId w:val="0"/>
        </w:numPr>
      </w:pPr>
    </w:p>
    <w:p w14:paraId="7E089E31" w14:textId="57B3A776" w:rsidR="00FA5945" w:rsidRPr="004D0FAA" w:rsidRDefault="00FA5945" w:rsidP="00FA5945">
      <w:pPr>
        <w:pStyle w:val="Heading2"/>
        <w:ind w:left="709"/>
      </w:pPr>
      <w:bookmarkStart w:id="36" w:name="_Toc13845459"/>
      <w:r>
        <w:t>Houseboat need</w:t>
      </w:r>
      <w:bookmarkEnd w:id="36"/>
    </w:p>
    <w:p w14:paraId="4CD5E912" w14:textId="07CA8F71" w:rsidR="00FA5945" w:rsidRDefault="00FA5945" w:rsidP="00FA5945">
      <w:pPr>
        <w:pStyle w:val="Reporttext"/>
        <w:numPr>
          <w:ilvl w:val="0"/>
          <w:numId w:val="0"/>
        </w:numPr>
      </w:pPr>
      <w:r>
        <w:t>No specific need for moorings was identified.  It is recommended that the Council maintain an ongoing review of houseboat activity and liaise with the Canals and Rivers Trust to identify any future need.</w:t>
      </w:r>
    </w:p>
    <w:p w14:paraId="5A6E1985" w14:textId="77777777" w:rsidR="00FA5945" w:rsidRDefault="00FA5945" w:rsidP="004D0FAA">
      <w:pPr>
        <w:pStyle w:val="Reporttext"/>
        <w:numPr>
          <w:ilvl w:val="0"/>
          <w:numId w:val="0"/>
        </w:numPr>
      </w:pPr>
    </w:p>
    <w:p w14:paraId="19B194AA" w14:textId="4DE161B4" w:rsidR="004D0FAA" w:rsidRPr="004D0FAA" w:rsidRDefault="004D0FAA" w:rsidP="004D0FAA">
      <w:pPr>
        <w:pStyle w:val="Reporttext"/>
        <w:numPr>
          <w:ilvl w:val="0"/>
          <w:numId w:val="0"/>
        </w:numPr>
      </w:pPr>
      <w:r w:rsidRPr="004D0FAA">
        <w:t>.</w:t>
      </w:r>
    </w:p>
    <w:p w14:paraId="410D55A1" w14:textId="2502736D" w:rsidR="001914AF" w:rsidRPr="00B6401C" w:rsidRDefault="001914AF" w:rsidP="009C05C2">
      <w:pPr>
        <w:tabs>
          <w:tab w:val="left" w:pos="7513"/>
        </w:tabs>
      </w:pPr>
      <w:r>
        <w:br w:type="page"/>
      </w:r>
    </w:p>
    <w:p w14:paraId="41BA2D63" w14:textId="3BE31C32" w:rsidR="001A0EC3" w:rsidRDefault="007525B2" w:rsidP="003F1E2F">
      <w:pPr>
        <w:pStyle w:val="Heading1"/>
      </w:pPr>
      <w:bookmarkStart w:id="37" w:name="_Toc510091947"/>
      <w:bookmarkStart w:id="38" w:name="_Toc13845460"/>
      <w:r w:rsidRPr="0014458C">
        <w:t>Introduction</w:t>
      </w:r>
      <w:bookmarkEnd w:id="37"/>
      <w:bookmarkEnd w:id="38"/>
      <w:r w:rsidRPr="00BA12A2">
        <w:t xml:space="preserve"> </w:t>
      </w:r>
    </w:p>
    <w:p w14:paraId="657868DA" w14:textId="78958352" w:rsidR="007908E9" w:rsidRDefault="007908E9" w:rsidP="003F1E2F">
      <w:pPr>
        <w:pStyle w:val="Heading2"/>
      </w:pPr>
      <w:bookmarkStart w:id="39" w:name="_Toc510091948"/>
      <w:bookmarkStart w:id="40" w:name="_Toc13845461"/>
      <w:r>
        <w:t xml:space="preserve">GTAA </w:t>
      </w:r>
      <w:r w:rsidR="001A1A0F">
        <w:t>201</w:t>
      </w:r>
      <w:r w:rsidR="00AF21FD">
        <w:t>9</w:t>
      </w:r>
      <w:r w:rsidR="00840C91">
        <w:t xml:space="preserve"> </w:t>
      </w:r>
      <w:r>
        <w:t>aims</w:t>
      </w:r>
      <w:bookmarkEnd w:id="39"/>
      <w:bookmarkEnd w:id="40"/>
    </w:p>
    <w:p w14:paraId="104B60C9" w14:textId="05B0F10A" w:rsidR="007908E9" w:rsidRPr="00934FFE" w:rsidRDefault="007525B2" w:rsidP="00CF5F7C">
      <w:pPr>
        <w:pStyle w:val="Reporttext"/>
        <w:numPr>
          <w:ilvl w:val="1"/>
          <w:numId w:val="23"/>
        </w:numPr>
      </w:pPr>
      <w:r w:rsidRPr="00934FFE">
        <w:t xml:space="preserve">In </w:t>
      </w:r>
      <w:r w:rsidR="0051006C" w:rsidRPr="00934FFE">
        <w:t xml:space="preserve">August </w:t>
      </w:r>
      <w:r w:rsidR="00E12827" w:rsidRPr="00934FFE">
        <w:t>2018</w:t>
      </w:r>
      <w:r w:rsidRPr="00934FFE">
        <w:t>, arc</w:t>
      </w:r>
      <w:r w:rsidRPr="0014458C">
        <w:rPr>
          <w:vertAlign w:val="superscript"/>
        </w:rPr>
        <w:t>4</w:t>
      </w:r>
      <w:r w:rsidR="00C95D24" w:rsidRPr="00934FFE">
        <w:t xml:space="preserve"> was</w:t>
      </w:r>
      <w:r w:rsidRPr="00934FFE">
        <w:t xml:space="preserve"> commissioned by </w:t>
      </w:r>
      <w:r w:rsidR="00EE6DA0" w:rsidRPr="00934FFE">
        <w:t>West Berkshire</w:t>
      </w:r>
      <w:r w:rsidR="009C1C62" w:rsidRPr="00934FFE">
        <w:t xml:space="preserve"> Council</w:t>
      </w:r>
      <w:r w:rsidR="00C95D24" w:rsidRPr="00934FFE">
        <w:t xml:space="preserve"> </w:t>
      </w:r>
      <w:r w:rsidRPr="00934FFE">
        <w:t>to</w:t>
      </w:r>
      <w:r w:rsidR="00902D4D" w:rsidRPr="00934FFE">
        <w:t xml:space="preserve"> undertake a Gypsy, </w:t>
      </w:r>
      <w:r w:rsidRPr="0014458C">
        <w:t>Traveller</w:t>
      </w:r>
      <w:r w:rsidRPr="00934FFE">
        <w:t xml:space="preserve"> </w:t>
      </w:r>
      <w:r w:rsidR="00902D4D" w:rsidRPr="00934FFE">
        <w:t xml:space="preserve">and Travelling Showperson </w:t>
      </w:r>
      <w:r w:rsidRPr="00934FFE">
        <w:t>Accommodation Assessment (GTAA)</w:t>
      </w:r>
      <w:r w:rsidR="00E12827" w:rsidRPr="00934FFE">
        <w:t xml:space="preserve"> </w:t>
      </w:r>
      <w:r w:rsidRPr="00934FFE">
        <w:t>to identify the accommodation</w:t>
      </w:r>
      <w:r w:rsidR="00902D4D" w:rsidRPr="00934FFE">
        <w:t xml:space="preserve"> needs of Gypsies, </w:t>
      </w:r>
      <w:r w:rsidRPr="00934FFE">
        <w:t>Travellers</w:t>
      </w:r>
      <w:r w:rsidR="00902D4D" w:rsidRPr="00934FFE">
        <w:t>, Travelling Showpeople and houseboat dwellers</w:t>
      </w:r>
      <w:r w:rsidR="007908E9" w:rsidRPr="00934FFE">
        <w:t xml:space="preserve"> </w:t>
      </w:r>
      <w:r w:rsidRPr="00934FFE">
        <w:t xml:space="preserve">from across </w:t>
      </w:r>
      <w:r w:rsidR="00EE6DA0" w:rsidRPr="00934FFE">
        <w:t>West Berkshire</w:t>
      </w:r>
      <w:r w:rsidR="001A0EC3" w:rsidRPr="00934FFE">
        <w:t xml:space="preserve"> District</w:t>
      </w:r>
      <w:r w:rsidRPr="00934FFE">
        <w:t xml:space="preserve">. </w:t>
      </w:r>
    </w:p>
    <w:p w14:paraId="3FC70350" w14:textId="27E31435" w:rsidR="007525B2" w:rsidRPr="00934FFE" w:rsidRDefault="007525B2" w:rsidP="00CF5F7C">
      <w:pPr>
        <w:pStyle w:val="Reporttext"/>
        <w:numPr>
          <w:ilvl w:val="1"/>
          <w:numId w:val="23"/>
        </w:numPr>
      </w:pPr>
      <w:r w:rsidRPr="00934FFE">
        <w:t>The overall objective</w:t>
      </w:r>
      <w:r w:rsidR="00902D4D" w:rsidRPr="00934FFE">
        <w:t xml:space="preserve"> of the Gypsy, </w:t>
      </w:r>
      <w:r w:rsidRPr="00934FFE">
        <w:t>Traveller</w:t>
      </w:r>
      <w:r w:rsidR="00902D4D" w:rsidRPr="00934FFE">
        <w:t xml:space="preserve"> and Travelling Showperson</w:t>
      </w:r>
      <w:r w:rsidRPr="00934FFE">
        <w:t xml:space="preserve"> Accommodation Assessment is to form a clear evidence basis to inform the development of plann</w:t>
      </w:r>
      <w:r w:rsidR="00DA4600" w:rsidRPr="00934FFE">
        <w:t xml:space="preserve">ing policies relating to Gypsy and </w:t>
      </w:r>
      <w:r w:rsidRPr="00934FFE">
        <w:t>Travellers</w:t>
      </w:r>
      <w:r w:rsidR="00DA4600" w:rsidRPr="00934FFE">
        <w:t>,</w:t>
      </w:r>
      <w:r w:rsidRPr="00934FFE">
        <w:t xml:space="preserve"> Travelling Showpeople</w:t>
      </w:r>
      <w:r w:rsidR="00DA4600" w:rsidRPr="00934FFE">
        <w:t xml:space="preserve"> and houseboat dwellers</w:t>
      </w:r>
      <w:r w:rsidRPr="00934FFE">
        <w:t xml:space="preserve">. </w:t>
      </w:r>
    </w:p>
    <w:p w14:paraId="6EF6A811" w14:textId="7F7BABA4" w:rsidR="007908E9" w:rsidRPr="00934FFE" w:rsidRDefault="007908E9" w:rsidP="00CF5F7C">
      <w:pPr>
        <w:pStyle w:val="Reporttext"/>
        <w:numPr>
          <w:ilvl w:val="1"/>
          <w:numId w:val="23"/>
        </w:numPr>
      </w:pPr>
      <w:r w:rsidRPr="00934FFE">
        <w:t xml:space="preserve">The aims of the GTAA </w:t>
      </w:r>
      <w:r w:rsidR="001A1A0F" w:rsidRPr="00934FFE">
        <w:t>201</w:t>
      </w:r>
      <w:r w:rsidR="00AF21FD">
        <w:t>9</w:t>
      </w:r>
      <w:r w:rsidRPr="00934FFE">
        <w:t xml:space="preserve"> are:</w:t>
      </w:r>
    </w:p>
    <w:p w14:paraId="345464A8" w14:textId="607BC45D" w:rsidR="007908E9" w:rsidRPr="00934FFE" w:rsidRDefault="007908E9" w:rsidP="007908E9">
      <w:pPr>
        <w:pStyle w:val="bullet"/>
      </w:pPr>
      <w:r w:rsidRPr="00934FFE">
        <w:t xml:space="preserve">To identify the current accommodation provision for members of the </w:t>
      </w:r>
      <w:r w:rsidR="00B434F5" w:rsidRPr="00934FFE">
        <w:t xml:space="preserve">Gypsy and Traveller </w:t>
      </w:r>
      <w:r w:rsidRPr="00934FFE">
        <w:t xml:space="preserve">community within </w:t>
      </w:r>
      <w:r w:rsidR="00EE6DA0" w:rsidRPr="00934FFE">
        <w:t>West Berkshire</w:t>
      </w:r>
      <w:r w:rsidR="001A0EC3" w:rsidRPr="00934FFE">
        <w:t xml:space="preserve"> District</w:t>
      </w:r>
      <w:r w:rsidRPr="00934FFE">
        <w:t>;</w:t>
      </w:r>
    </w:p>
    <w:p w14:paraId="0C0EDF8A" w14:textId="637A901F" w:rsidR="007908E9" w:rsidRPr="00934FFE" w:rsidRDefault="007908E9" w:rsidP="007908E9">
      <w:pPr>
        <w:pStyle w:val="bullet"/>
      </w:pPr>
      <w:r w:rsidRPr="00934FFE">
        <w:t>To identify current levels of need for accommodation arising from within the community, including from concealed households and those living in bricks and mortar;</w:t>
      </w:r>
    </w:p>
    <w:p w14:paraId="357EFB47" w14:textId="0E14358F" w:rsidR="007908E9" w:rsidRDefault="007908E9" w:rsidP="007908E9">
      <w:pPr>
        <w:pStyle w:val="bullet"/>
      </w:pPr>
      <w:r w:rsidRPr="00934FFE">
        <w:t xml:space="preserve">To project future accommodation needs for pitches, plots and moorings using a clear and transparent methodology in order to create a robust evidence base for the next five years and the </w:t>
      </w:r>
      <w:r w:rsidR="00936365" w:rsidRPr="00934FFE">
        <w:t xml:space="preserve">period to </w:t>
      </w:r>
      <w:r w:rsidR="00B434F5" w:rsidRPr="00934FFE">
        <w:t>2036</w:t>
      </w:r>
      <w:r w:rsidRPr="00934FFE">
        <w:t>;</w:t>
      </w:r>
      <w:r w:rsidRPr="007C55F3">
        <w:t xml:space="preserve"> and</w:t>
      </w:r>
    </w:p>
    <w:p w14:paraId="102D2AA3" w14:textId="0E635AF4" w:rsidR="007908E9" w:rsidRDefault="007908E9" w:rsidP="007908E9">
      <w:pPr>
        <w:pStyle w:val="bullet"/>
      </w:pPr>
      <w:r>
        <w:t>To inform the development of housing and planning policies for the Council and its strategic partners.</w:t>
      </w:r>
    </w:p>
    <w:p w14:paraId="76351F17" w14:textId="77777777" w:rsidR="007908E9" w:rsidRDefault="007908E9" w:rsidP="0014458C">
      <w:pPr>
        <w:pStyle w:val="Reporttext"/>
        <w:numPr>
          <w:ilvl w:val="0"/>
          <w:numId w:val="0"/>
        </w:numPr>
        <w:ind w:left="709"/>
      </w:pPr>
    </w:p>
    <w:p w14:paraId="65ACB82C" w14:textId="7E22EEA3" w:rsidR="007908E9" w:rsidRDefault="007908E9" w:rsidP="007908E9">
      <w:pPr>
        <w:pStyle w:val="Heading2"/>
      </w:pPr>
      <w:bookmarkStart w:id="41" w:name="_Toc510091949"/>
      <w:bookmarkStart w:id="42" w:name="_Toc13845462"/>
      <w:r>
        <w:t>Who the study covers</w:t>
      </w:r>
      <w:bookmarkEnd w:id="41"/>
      <w:bookmarkEnd w:id="42"/>
    </w:p>
    <w:p w14:paraId="41B919E3" w14:textId="456101F4" w:rsidR="007525B2" w:rsidRPr="00ED175E" w:rsidRDefault="007525B2" w:rsidP="00CF5F7C">
      <w:pPr>
        <w:pStyle w:val="Reporttext"/>
        <w:numPr>
          <w:ilvl w:val="1"/>
          <w:numId w:val="23"/>
        </w:numPr>
      </w:pPr>
      <w:r w:rsidRPr="00ED175E">
        <w:t xml:space="preserve">The </w:t>
      </w:r>
      <w:r w:rsidR="007908E9">
        <w:t xml:space="preserve">GTAA </w:t>
      </w:r>
      <w:r w:rsidR="001A1A0F">
        <w:t>201</w:t>
      </w:r>
      <w:r w:rsidR="00AF21FD">
        <w:t>9</w:t>
      </w:r>
      <w:r w:rsidRPr="00ED175E">
        <w:t xml:space="preserve"> adopts the definition of ‘Gypsies and Travellers’ set out within </w:t>
      </w:r>
      <w:r w:rsidRPr="0014458C">
        <w:rPr>
          <w:i/>
        </w:rPr>
        <w:t>Planning policy for traveller sites</w:t>
      </w:r>
      <w:r w:rsidRPr="00ED175E">
        <w:t xml:space="preserve"> </w:t>
      </w:r>
      <w:r w:rsidR="007314BB">
        <w:t>(PPTS), which was published by the Government in August 2015. This sets out th</w:t>
      </w:r>
      <w:r w:rsidRPr="00ED175E">
        <w:t xml:space="preserve">e following definition of </w:t>
      </w:r>
      <w:r>
        <w:t>‘</w:t>
      </w:r>
      <w:r w:rsidRPr="00ED175E">
        <w:t>Gypsies and Travellers</w:t>
      </w:r>
      <w:r>
        <w:t>’</w:t>
      </w:r>
      <w:r w:rsidRPr="00ED175E">
        <w:t>:</w:t>
      </w:r>
    </w:p>
    <w:p w14:paraId="7522EA76" w14:textId="77777777" w:rsidR="007525B2" w:rsidRPr="009C7BE5" w:rsidRDefault="007525B2" w:rsidP="00CF5F7C">
      <w:pPr>
        <w:pStyle w:val="Reporttext"/>
        <w:numPr>
          <w:ilvl w:val="1"/>
          <w:numId w:val="23"/>
        </w:numPr>
      </w:pPr>
      <w:r>
        <w:t>‘Persons of nomadic habit of life whatever their race or origin, including such persons who on grounds only of their own or their family’s or dependants’ educational or health needs or old age have ceased to travel temporarily, but excluding members of an organised group of Travelling Showpeople or circus people travelling together as such.’</w:t>
      </w:r>
      <w:r>
        <w:rPr>
          <w:rStyle w:val="FootnoteReference"/>
          <w:rFonts w:cs="Arial"/>
          <w:i/>
          <w:iCs/>
          <w:color w:val="000000"/>
        </w:rPr>
        <w:footnoteReference w:id="2"/>
      </w:r>
    </w:p>
    <w:p w14:paraId="57899844" w14:textId="1C5A0E26" w:rsidR="007525B2" w:rsidRDefault="007525B2" w:rsidP="00CF5F7C">
      <w:pPr>
        <w:pStyle w:val="Reporttext"/>
        <w:numPr>
          <w:ilvl w:val="1"/>
          <w:numId w:val="23"/>
        </w:numPr>
      </w:pPr>
      <w:r>
        <w:t xml:space="preserve">In addition, </w:t>
      </w:r>
      <w:r w:rsidR="007314BB">
        <w:t>PPTS 2015</w:t>
      </w:r>
      <w:r>
        <w:t xml:space="preserve"> </w:t>
      </w:r>
      <w:r w:rsidR="007314BB">
        <w:t>provides</w:t>
      </w:r>
      <w:r>
        <w:t xml:space="preserve"> the following ‘clarification’ for determining whether someone is a Gypsy or Traveller: </w:t>
      </w:r>
    </w:p>
    <w:p w14:paraId="54A35C04" w14:textId="77777777" w:rsidR="007525B2" w:rsidRPr="003D119D" w:rsidRDefault="007525B2" w:rsidP="00CF5F7C">
      <w:pPr>
        <w:pStyle w:val="Reporttext"/>
        <w:numPr>
          <w:ilvl w:val="1"/>
          <w:numId w:val="23"/>
        </w:numPr>
      </w:pPr>
      <w:r>
        <w:t>‘</w:t>
      </w:r>
      <w:r w:rsidRPr="003D119D">
        <w:t xml:space="preserve">In determining whether persons are “gypsies and travellers” for the purposes of this planning policy, consideration should be given to the following issues amongst other relevant matters: </w:t>
      </w:r>
    </w:p>
    <w:p w14:paraId="1A0DF433" w14:textId="77777777" w:rsidR="007525B2" w:rsidRPr="003D119D" w:rsidRDefault="007525B2" w:rsidP="0014458C">
      <w:pPr>
        <w:pStyle w:val="Reporttext"/>
        <w:numPr>
          <w:ilvl w:val="0"/>
          <w:numId w:val="0"/>
        </w:numPr>
        <w:ind w:left="709"/>
      </w:pPr>
      <w:r w:rsidRPr="003D119D">
        <w:t>a)</w:t>
      </w:r>
      <w:r w:rsidRPr="003D119D">
        <w:tab/>
        <w:t>whether they previously led a nomadic habit of life</w:t>
      </w:r>
    </w:p>
    <w:p w14:paraId="245E0DD7" w14:textId="77777777" w:rsidR="007525B2" w:rsidRPr="003D119D" w:rsidRDefault="007525B2" w:rsidP="0014458C">
      <w:pPr>
        <w:pStyle w:val="Reporttext"/>
        <w:numPr>
          <w:ilvl w:val="0"/>
          <w:numId w:val="0"/>
        </w:numPr>
        <w:ind w:left="709"/>
      </w:pPr>
      <w:r w:rsidRPr="003D119D">
        <w:t xml:space="preserve">b) </w:t>
      </w:r>
      <w:r w:rsidRPr="003D119D">
        <w:tab/>
        <w:t>the reasons for ceasing their nomadic habit of life</w:t>
      </w:r>
    </w:p>
    <w:p w14:paraId="4745A541" w14:textId="77777777" w:rsidR="007525B2" w:rsidRPr="009C7BE5" w:rsidRDefault="007525B2" w:rsidP="0014458C">
      <w:pPr>
        <w:pStyle w:val="Reporttext"/>
        <w:numPr>
          <w:ilvl w:val="0"/>
          <w:numId w:val="0"/>
        </w:numPr>
        <w:ind w:left="1440" w:hanging="731"/>
      </w:pPr>
      <w:r w:rsidRPr="003D119D">
        <w:t xml:space="preserve">c) </w:t>
      </w:r>
      <w:r w:rsidRPr="003D119D">
        <w:tab/>
        <w:t xml:space="preserve">whether there is an intention of living a nomadic habit of life in the future, and if so, how </w:t>
      </w:r>
      <w:r>
        <w:t>soon and in what circumstances.’</w:t>
      </w:r>
      <w:r>
        <w:rPr>
          <w:rStyle w:val="FootnoteReference"/>
          <w:i/>
        </w:rPr>
        <w:footnoteReference w:id="3"/>
      </w:r>
    </w:p>
    <w:p w14:paraId="55E198A3" w14:textId="60A09EDB" w:rsidR="007525B2" w:rsidRPr="00ED175E" w:rsidRDefault="007525B2" w:rsidP="00CF5F7C">
      <w:pPr>
        <w:pStyle w:val="Reporttext"/>
        <w:numPr>
          <w:ilvl w:val="1"/>
          <w:numId w:val="23"/>
        </w:numPr>
      </w:pPr>
      <w:r>
        <w:t>The</w:t>
      </w:r>
      <w:r w:rsidRPr="00ED175E">
        <w:t xml:space="preserve"> following </w:t>
      </w:r>
      <w:r w:rsidRPr="007677BC">
        <w:t>definition</w:t>
      </w:r>
      <w:r w:rsidRPr="00ED175E">
        <w:t xml:space="preserve"> of </w:t>
      </w:r>
      <w:r>
        <w:t xml:space="preserve">‘Travelling </w:t>
      </w:r>
      <w:r w:rsidRPr="00ED175E">
        <w:t>Showpeople</w:t>
      </w:r>
      <w:r>
        <w:t>’</w:t>
      </w:r>
      <w:r w:rsidRPr="00ED175E">
        <w:t xml:space="preserve"> is </w:t>
      </w:r>
      <w:r w:rsidR="007314BB">
        <w:t>set out in PPTS 2015</w:t>
      </w:r>
      <w:r w:rsidRPr="00ED175E">
        <w:t>:</w:t>
      </w:r>
    </w:p>
    <w:p w14:paraId="4AA97FE1" w14:textId="77777777" w:rsidR="007525B2" w:rsidRPr="0014458C" w:rsidRDefault="007525B2" w:rsidP="0014458C">
      <w:pPr>
        <w:pStyle w:val="Reporttext"/>
        <w:numPr>
          <w:ilvl w:val="0"/>
          <w:numId w:val="0"/>
        </w:numPr>
        <w:ind w:left="709"/>
        <w:rPr>
          <w:i/>
        </w:rPr>
      </w:pPr>
      <w:r w:rsidRPr="0014458C">
        <w:rPr>
          <w:i/>
        </w:rPr>
        <w:t>‘Members of a group organised for the purposes of holding fairs, circuses or shows (whether or not travelling together as such). This includes such persons who on the grounds of their own or their family’s or dependants’ more localised pattern of trading, educational or health needs or old age have ceased to travel temporarily, but excludes Gypsies and Travellers as defined above.’</w:t>
      </w:r>
      <w:r w:rsidRPr="0014458C">
        <w:rPr>
          <w:rStyle w:val="FootnoteReference"/>
          <w:i/>
        </w:rPr>
        <w:footnoteReference w:id="4"/>
      </w:r>
    </w:p>
    <w:p w14:paraId="639BAC55" w14:textId="43E6018D" w:rsidR="007525B2" w:rsidRPr="00D93A05" w:rsidRDefault="007525B2" w:rsidP="00CF5F7C">
      <w:pPr>
        <w:pStyle w:val="Reporttext"/>
        <w:numPr>
          <w:ilvl w:val="1"/>
          <w:numId w:val="23"/>
        </w:numPr>
      </w:pPr>
      <w:r w:rsidRPr="00D93A05">
        <w:t>In addition:</w:t>
      </w:r>
    </w:p>
    <w:p w14:paraId="662F31A9" w14:textId="77777777" w:rsidR="007525B2" w:rsidRPr="0014458C" w:rsidRDefault="007525B2" w:rsidP="0014458C">
      <w:pPr>
        <w:pStyle w:val="Reporttext"/>
        <w:numPr>
          <w:ilvl w:val="0"/>
          <w:numId w:val="0"/>
        </w:numPr>
        <w:ind w:left="709"/>
        <w:rPr>
          <w:i/>
        </w:rPr>
      </w:pPr>
      <w:r w:rsidRPr="0014458C">
        <w:rPr>
          <w:i/>
        </w:rPr>
        <w:t>‘For the purposes of this planning policy, “pitch” means a pitch on a “gypsy and traveller” site and “plot” means a pitch on a “travelling showpeople” site (often called a “yard”). This terminology differentiates between residential pitches for “gypsies and travellers” and mixed-use pitches for “travelling showpeople”, which may/will need to incorporate space or to be split to allow for the storage of equipment.’</w:t>
      </w:r>
      <w:r w:rsidRPr="0014458C">
        <w:rPr>
          <w:rStyle w:val="FootnoteReference"/>
          <w:i/>
        </w:rPr>
        <w:footnoteReference w:id="5"/>
      </w:r>
      <w:r w:rsidRPr="0014458C">
        <w:rPr>
          <w:i/>
        </w:rPr>
        <w:t xml:space="preserve"> </w:t>
      </w:r>
    </w:p>
    <w:p w14:paraId="3B91191B" w14:textId="77777777" w:rsidR="007525B2" w:rsidRPr="0014458C" w:rsidRDefault="007525B2" w:rsidP="00CF5F7C">
      <w:pPr>
        <w:pStyle w:val="Reporttext"/>
        <w:numPr>
          <w:ilvl w:val="1"/>
          <w:numId w:val="23"/>
        </w:numPr>
        <w:rPr>
          <w:rFonts w:cs="Arial"/>
        </w:rPr>
      </w:pPr>
      <w:r>
        <w:t xml:space="preserve">For </w:t>
      </w:r>
      <w:r w:rsidRPr="007677BC">
        <w:t>the</w:t>
      </w:r>
      <w:r>
        <w:t xml:space="preserve"> purposes of this study, therefore, Gypsies and Travellers live on pitches on sites, whilst Travelling Showpeople live on plots on yards. </w:t>
      </w:r>
    </w:p>
    <w:p w14:paraId="76E42B7A" w14:textId="77777777" w:rsidR="007525B2" w:rsidRDefault="007525B2" w:rsidP="007525B2"/>
    <w:p w14:paraId="12BD6D74" w14:textId="77777777" w:rsidR="00503FAC" w:rsidRDefault="00503FAC" w:rsidP="00503FAC">
      <w:pPr>
        <w:pStyle w:val="Heading2"/>
      </w:pPr>
      <w:bookmarkStart w:id="43" w:name="_Toc417995941"/>
      <w:bookmarkStart w:id="44" w:name="_Toc397431598"/>
      <w:bookmarkStart w:id="45" w:name="_Toc377120791"/>
      <w:bookmarkStart w:id="46" w:name="_Toc325806507"/>
      <w:bookmarkStart w:id="47" w:name="_Toc457575033"/>
      <w:bookmarkStart w:id="48" w:name="_Toc459646222"/>
      <w:bookmarkStart w:id="49" w:name="_Toc477256923"/>
      <w:bookmarkStart w:id="50" w:name="_Toc485383223"/>
      <w:bookmarkStart w:id="51" w:name="_Toc13845463"/>
      <w:r>
        <w:t>Report structure</w:t>
      </w:r>
      <w:bookmarkEnd w:id="43"/>
      <w:bookmarkEnd w:id="44"/>
      <w:bookmarkEnd w:id="45"/>
      <w:bookmarkEnd w:id="46"/>
      <w:bookmarkEnd w:id="47"/>
      <w:bookmarkEnd w:id="48"/>
      <w:bookmarkEnd w:id="49"/>
      <w:bookmarkEnd w:id="50"/>
      <w:bookmarkEnd w:id="51"/>
    </w:p>
    <w:p w14:paraId="081CB2F7" w14:textId="5E63544A" w:rsidR="00503FAC" w:rsidRDefault="00503FAC" w:rsidP="00CF5F7C">
      <w:pPr>
        <w:pStyle w:val="Reporttext"/>
        <w:numPr>
          <w:ilvl w:val="1"/>
          <w:numId w:val="23"/>
        </w:numPr>
      </w:pPr>
      <w:r>
        <w:t>The GTAA 201</w:t>
      </w:r>
      <w:r w:rsidR="00AF21FD">
        <w:t>9</w:t>
      </w:r>
      <w:r>
        <w:t xml:space="preserve"> report </w:t>
      </w:r>
      <w:r w:rsidRPr="007677BC">
        <w:t>structure</w:t>
      </w:r>
      <w:r>
        <w:t xml:space="preserve"> is as follows:</w:t>
      </w:r>
    </w:p>
    <w:p w14:paraId="6F15FD45" w14:textId="77777777" w:rsidR="00045ACB" w:rsidRDefault="00045ACB" w:rsidP="00045ACB">
      <w:pPr>
        <w:numPr>
          <w:ilvl w:val="0"/>
          <w:numId w:val="9"/>
        </w:numPr>
        <w:tabs>
          <w:tab w:val="left" w:pos="1134"/>
          <w:tab w:val="left" w:pos="2552"/>
        </w:tabs>
        <w:ind w:left="2552" w:hanging="1843"/>
      </w:pPr>
      <w:r>
        <w:rPr>
          <w:b/>
        </w:rPr>
        <w:t xml:space="preserve">Chapter 1 </w:t>
      </w:r>
      <w:r>
        <w:rPr>
          <w:b/>
        </w:rPr>
        <w:tab/>
        <w:t>Introduction</w:t>
      </w:r>
      <w:r>
        <w:t>: provides an overview of the study;</w:t>
      </w:r>
    </w:p>
    <w:p w14:paraId="39A24211" w14:textId="77777777" w:rsidR="00045ACB" w:rsidRDefault="00045ACB" w:rsidP="00045ACB">
      <w:pPr>
        <w:numPr>
          <w:ilvl w:val="0"/>
          <w:numId w:val="9"/>
        </w:numPr>
        <w:tabs>
          <w:tab w:val="left" w:pos="1134"/>
          <w:tab w:val="left" w:pos="2552"/>
        </w:tabs>
        <w:ind w:left="2552" w:hanging="1843"/>
      </w:pPr>
      <w:r>
        <w:rPr>
          <w:b/>
        </w:rPr>
        <w:t xml:space="preserve">Chapter 2 </w:t>
      </w:r>
      <w:r>
        <w:rPr>
          <w:b/>
        </w:rPr>
        <w:tab/>
        <w:t>Policy context</w:t>
      </w:r>
      <w:r>
        <w:t>: presents a review of the planning policy context which guides the study;</w:t>
      </w:r>
    </w:p>
    <w:p w14:paraId="20CD65B6" w14:textId="77777777" w:rsidR="00045ACB" w:rsidRDefault="00045ACB" w:rsidP="00045ACB">
      <w:pPr>
        <w:numPr>
          <w:ilvl w:val="0"/>
          <w:numId w:val="9"/>
        </w:numPr>
        <w:tabs>
          <w:tab w:val="left" w:pos="1134"/>
          <w:tab w:val="left" w:pos="2552"/>
        </w:tabs>
        <w:ind w:left="2552" w:hanging="1843"/>
      </w:pPr>
      <w:r>
        <w:rPr>
          <w:b/>
        </w:rPr>
        <w:t>Chapter 3</w:t>
      </w:r>
      <w:r>
        <w:rPr>
          <w:b/>
        </w:rPr>
        <w:tab/>
        <w:t>Methodology</w:t>
      </w:r>
      <w:r>
        <w:t xml:space="preserve">: provides details of the study’s research methodology; </w:t>
      </w:r>
    </w:p>
    <w:p w14:paraId="02C3C14D" w14:textId="77777777" w:rsidR="00045ACB" w:rsidRPr="00CD2BD0" w:rsidRDefault="00045ACB" w:rsidP="00045ACB">
      <w:pPr>
        <w:numPr>
          <w:ilvl w:val="0"/>
          <w:numId w:val="9"/>
        </w:numPr>
        <w:tabs>
          <w:tab w:val="left" w:pos="1134"/>
          <w:tab w:val="left" w:pos="2552"/>
        </w:tabs>
        <w:ind w:left="2552" w:hanging="1843"/>
        <w:rPr>
          <w:b/>
        </w:rPr>
      </w:pPr>
      <w:r>
        <w:rPr>
          <w:b/>
        </w:rPr>
        <w:t>Chapter 4</w:t>
      </w:r>
      <w:r>
        <w:rPr>
          <w:b/>
        </w:rPr>
        <w:tab/>
        <w:t>Review of current Gypsy and Traveller population and provision of pitches/plots</w:t>
      </w:r>
      <w:r>
        <w:t>: reviews estimates of the Gypsy and Traveller and Travelling Showpeople population across the and the scale of existing site/yard provision;</w:t>
      </w:r>
    </w:p>
    <w:p w14:paraId="2ADB53B5" w14:textId="77777777" w:rsidR="00045ACB" w:rsidRPr="00CD2BD0" w:rsidRDefault="00045ACB" w:rsidP="00045ACB">
      <w:pPr>
        <w:numPr>
          <w:ilvl w:val="0"/>
          <w:numId w:val="9"/>
        </w:numPr>
        <w:tabs>
          <w:tab w:val="left" w:pos="1134"/>
          <w:tab w:val="left" w:pos="2552"/>
        </w:tabs>
        <w:ind w:left="2552" w:hanging="1843"/>
        <w:rPr>
          <w:b/>
        </w:rPr>
      </w:pPr>
      <w:r w:rsidRPr="00CD2BD0">
        <w:rPr>
          <w:b/>
        </w:rPr>
        <w:t>Chapter 5</w:t>
      </w:r>
      <w:r w:rsidRPr="00CD2BD0">
        <w:rPr>
          <w:b/>
        </w:rPr>
        <w:tab/>
        <w:t>Household survey findings</w:t>
      </w:r>
      <w:r>
        <w:rPr>
          <w:b/>
        </w:rPr>
        <w:t>:</w:t>
      </w:r>
      <w:r w:rsidRPr="00CD2BD0">
        <w:t xml:space="preserve"> presents relevant </w:t>
      </w:r>
      <w:r>
        <w:t>data obtained</w:t>
      </w:r>
      <w:r w:rsidRPr="00CD2BD0">
        <w:t xml:space="preserve"> from the household survey research;</w:t>
      </w:r>
    </w:p>
    <w:p w14:paraId="3B270B17" w14:textId="77777777" w:rsidR="00045ACB" w:rsidRPr="003C2B38" w:rsidRDefault="00045ACB" w:rsidP="00045ACB">
      <w:pPr>
        <w:numPr>
          <w:ilvl w:val="0"/>
          <w:numId w:val="9"/>
        </w:numPr>
        <w:tabs>
          <w:tab w:val="left" w:pos="1134"/>
          <w:tab w:val="left" w:pos="2552"/>
        </w:tabs>
        <w:ind w:left="2552" w:hanging="1843"/>
      </w:pPr>
      <w:r w:rsidRPr="003C2B38">
        <w:rPr>
          <w:b/>
        </w:rPr>
        <w:t>Chapter 6</w:t>
      </w:r>
      <w:r w:rsidRPr="003C2B38">
        <w:rPr>
          <w:b/>
        </w:rPr>
        <w:tab/>
        <w:t>Stakeholder consultation</w:t>
      </w:r>
      <w:r w:rsidRPr="003C2B38">
        <w:t xml:space="preserve">: summarises views of stakeholders expressed through the online survey; </w:t>
      </w:r>
    </w:p>
    <w:p w14:paraId="63E15502" w14:textId="77777777" w:rsidR="00045ACB" w:rsidRPr="003C2B38" w:rsidRDefault="00045ACB" w:rsidP="00045ACB">
      <w:pPr>
        <w:numPr>
          <w:ilvl w:val="0"/>
          <w:numId w:val="9"/>
        </w:numPr>
        <w:tabs>
          <w:tab w:val="left" w:pos="1134"/>
          <w:tab w:val="left" w:pos="2552"/>
        </w:tabs>
        <w:ind w:left="2552" w:hanging="1843"/>
      </w:pPr>
      <w:r w:rsidRPr="003C2B38">
        <w:rPr>
          <w:b/>
        </w:rPr>
        <w:t>Chapter 7</w:t>
      </w:r>
      <w:r w:rsidRPr="003C2B38">
        <w:rPr>
          <w:b/>
        </w:rPr>
        <w:tab/>
        <w:t>Pitch</w:t>
      </w:r>
      <w:r>
        <w:rPr>
          <w:b/>
        </w:rPr>
        <w:t>/plot/transit</w:t>
      </w:r>
      <w:r w:rsidRPr="003C2B38">
        <w:rPr>
          <w:b/>
        </w:rPr>
        <w:t xml:space="preserve"> requirements</w:t>
      </w:r>
      <w:r w:rsidRPr="003C2B38">
        <w:t>: focuses on c</w:t>
      </w:r>
      <w:r>
        <w:t>urrent and future pitch/plot</w:t>
      </w:r>
      <w:r w:rsidRPr="003C2B38">
        <w:t xml:space="preserve"> requirements. This chapter includes a detailed assessment of drivers of demand, supply and current shortfalls across the study area; and</w:t>
      </w:r>
    </w:p>
    <w:p w14:paraId="56871DE5" w14:textId="77777777" w:rsidR="00045ACB" w:rsidRDefault="00045ACB" w:rsidP="00045ACB">
      <w:pPr>
        <w:numPr>
          <w:ilvl w:val="0"/>
          <w:numId w:val="9"/>
        </w:numPr>
        <w:tabs>
          <w:tab w:val="left" w:pos="1134"/>
          <w:tab w:val="left" w:pos="2552"/>
        </w:tabs>
        <w:ind w:left="2552" w:hanging="1843"/>
      </w:pPr>
      <w:r>
        <w:rPr>
          <w:b/>
        </w:rPr>
        <w:t xml:space="preserve">Chapter 8 </w:t>
      </w:r>
      <w:r>
        <w:rPr>
          <w:b/>
        </w:rPr>
        <w:tab/>
        <w:t>Conclusion and strategic response</w:t>
      </w:r>
      <w:r>
        <w:t xml:space="preserve">: concludes the report, bringing together the different strands of the research and identifying headline issues, including recommending ways in which these could be addressed. </w:t>
      </w:r>
    </w:p>
    <w:p w14:paraId="1892B0D0" w14:textId="77777777" w:rsidR="00045ACB" w:rsidRDefault="00045ACB" w:rsidP="00CF5F7C">
      <w:pPr>
        <w:pStyle w:val="Reporttext"/>
        <w:numPr>
          <w:ilvl w:val="1"/>
          <w:numId w:val="23"/>
        </w:numPr>
      </w:pPr>
      <w:r>
        <w:t>The report is supplemented by the following appendices:</w:t>
      </w:r>
    </w:p>
    <w:p w14:paraId="4E95CE23" w14:textId="77777777" w:rsidR="00045ACB" w:rsidRDefault="00045ACB" w:rsidP="00045ACB">
      <w:pPr>
        <w:numPr>
          <w:ilvl w:val="0"/>
          <w:numId w:val="9"/>
        </w:numPr>
        <w:tabs>
          <w:tab w:val="left" w:pos="1134"/>
          <w:tab w:val="left" w:pos="2552"/>
        </w:tabs>
        <w:ind w:left="2552" w:hanging="1843"/>
      </w:pPr>
      <w:r>
        <w:rPr>
          <w:b/>
        </w:rPr>
        <w:t>Appendix A</w:t>
      </w:r>
      <w:r>
        <w:tab/>
        <w:t>which provides details of the legislative background underpinning accommodation issues for the Travelling community;</w:t>
      </w:r>
    </w:p>
    <w:p w14:paraId="641205DB" w14:textId="77777777" w:rsidR="00045ACB" w:rsidRDefault="00045ACB" w:rsidP="00045ACB">
      <w:pPr>
        <w:numPr>
          <w:ilvl w:val="0"/>
          <w:numId w:val="9"/>
        </w:numPr>
        <w:tabs>
          <w:tab w:val="left" w:pos="1134"/>
          <w:tab w:val="left" w:pos="2552"/>
        </w:tabs>
        <w:ind w:left="2552" w:hanging="1843"/>
      </w:pPr>
      <w:r>
        <w:rPr>
          <w:b/>
        </w:rPr>
        <w:t>Appendix B</w:t>
      </w:r>
      <w:r>
        <w:tab/>
        <w:t>Review of policy, guidance, reports and best practice notes;</w:t>
      </w:r>
    </w:p>
    <w:p w14:paraId="2277870A" w14:textId="77777777" w:rsidR="00045ACB" w:rsidRDefault="00045ACB" w:rsidP="00045ACB">
      <w:pPr>
        <w:numPr>
          <w:ilvl w:val="0"/>
          <w:numId w:val="9"/>
        </w:numPr>
        <w:tabs>
          <w:tab w:val="left" w:pos="1134"/>
          <w:tab w:val="left" w:pos="2552"/>
        </w:tabs>
        <w:ind w:left="2552" w:hanging="1843"/>
      </w:pPr>
      <w:r>
        <w:rPr>
          <w:b/>
        </w:rPr>
        <w:t>Appendix C</w:t>
      </w:r>
      <w:r>
        <w:tab/>
        <w:t>Fieldwork questionnaires;</w:t>
      </w:r>
    </w:p>
    <w:p w14:paraId="5E84545C" w14:textId="77777777" w:rsidR="00045ACB" w:rsidRDefault="00045ACB" w:rsidP="00045ACB">
      <w:pPr>
        <w:numPr>
          <w:ilvl w:val="0"/>
          <w:numId w:val="9"/>
        </w:numPr>
        <w:tabs>
          <w:tab w:val="left" w:pos="1134"/>
          <w:tab w:val="left" w:pos="2552"/>
        </w:tabs>
        <w:ind w:left="2552" w:hanging="1843"/>
      </w:pPr>
      <w:r w:rsidRPr="009D4D55">
        <w:rPr>
          <w:b/>
        </w:rPr>
        <w:t>Appendix D</w:t>
      </w:r>
      <w:r w:rsidRPr="00D02760">
        <w:tab/>
      </w:r>
      <w:r>
        <w:t>Fieldwork survey response statistics; and</w:t>
      </w:r>
    </w:p>
    <w:p w14:paraId="588F9AD8" w14:textId="55462CE0" w:rsidR="00503FAC" w:rsidRDefault="00045ACB" w:rsidP="00045ACB">
      <w:pPr>
        <w:numPr>
          <w:ilvl w:val="0"/>
          <w:numId w:val="9"/>
        </w:numPr>
        <w:tabs>
          <w:tab w:val="left" w:pos="1134"/>
          <w:tab w:val="left" w:pos="2552"/>
        </w:tabs>
        <w:ind w:left="2552" w:hanging="1843"/>
      </w:pPr>
      <w:r w:rsidRPr="006232C2">
        <w:rPr>
          <w:b/>
        </w:rPr>
        <w:t>Appendix E</w:t>
      </w:r>
      <w:r>
        <w:tab/>
        <w:t>Glossary of terms</w:t>
      </w:r>
      <w:r w:rsidR="00503FAC">
        <w:t>.</w:t>
      </w:r>
    </w:p>
    <w:p w14:paraId="08DDE2FC" w14:textId="77777777" w:rsidR="007525B2" w:rsidRDefault="007525B2" w:rsidP="007525B2"/>
    <w:p w14:paraId="43598808" w14:textId="7CF3E8E1" w:rsidR="007525B2" w:rsidRDefault="007525B2" w:rsidP="007525B2"/>
    <w:p w14:paraId="5CC4745F" w14:textId="008E4FF5" w:rsidR="007525B2" w:rsidRDefault="007525B2" w:rsidP="0014458C">
      <w:pPr>
        <w:pStyle w:val="Heading1"/>
      </w:pPr>
      <w:r>
        <w:rPr>
          <w:rFonts w:cs="Arial"/>
        </w:rPr>
        <w:br w:type="page"/>
      </w:r>
      <w:bookmarkStart w:id="52" w:name="_Toc417995942"/>
      <w:bookmarkStart w:id="53" w:name="_Toc457575034"/>
      <w:bookmarkStart w:id="54" w:name="_Toc459646223"/>
      <w:bookmarkStart w:id="55" w:name="_Toc477256924"/>
      <w:bookmarkStart w:id="56" w:name="_Toc485383224"/>
      <w:bookmarkStart w:id="57" w:name="_Toc510091951"/>
      <w:bookmarkStart w:id="58" w:name="_Toc13845464"/>
      <w:r w:rsidRPr="0014458C">
        <w:t>Policy</w:t>
      </w:r>
      <w:r>
        <w:t xml:space="preserve"> </w:t>
      </w:r>
      <w:r w:rsidR="003E6A70">
        <w:t>and local c</w:t>
      </w:r>
      <w:r>
        <w:t>ontext</w:t>
      </w:r>
      <w:bookmarkEnd w:id="52"/>
      <w:bookmarkEnd w:id="53"/>
      <w:bookmarkEnd w:id="54"/>
      <w:bookmarkEnd w:id="55"/>
      <w:bookmarkEnd w:id="56"/>
      <w:bookmarkEnd w:id="57"/>
      <w:bookmarkEnd w:id="58"/>
    </w:p>
    <w:p w14:paraId="77B135B4" w14:textId="052F1F35" w:rsidR="007525B2" w:rsidRDefault="007525B2" w:rsidP="0014458C">
      <w:pPr>
        <w:pStyle w:val="Reporttext"/>
      </w:pPr>
      <w:r>
        <w:t xml:space="preserve">This </w:t>
      </w:r>
      <w:r w:rsidR="007314BB">
        <w:t>study</w:t>
      </w:r>
      <w:r>
        <w:t xml:space="preserve"> is grounded in an understanding of how the national legislative and </w:t>
      </w:r>
      <w:r w:rsidR="000457B7" w:rsidRPr="0014458C">
        <w:t>planning</w:t>
      </w:r>
      <w:r w:rsidR="000457B7">
        <w:t xml:space="preserve"> </w:t>
      </w:r>
      <w:r>
        <w:t xml:space="preserve">policy context </w:t>
      </w:r>
      <w:r w:rsidR="000457B7">
        <w:t>underpins the assessment and provision of accommodation for Gypsies</w:t>
      </w:r>
      <w:r w:rsidR="007314BB">
        <w:t xml:space="preserve"> and Traveller</w:t>
      </w:r>
      <w:r w:rsidR="000457B7">
        <w:t>s</w:t>
      </w:r>
      <w:r w:rsidR="007314BB">
        <w:t xml:space="preserve">, </w:t>
      </w:r>
      <w:r>
        <w:t xml:space="preserve">Travelling Showpeople </w:t>
      </w:r>
      <w:r w:rsidR="007314BB">
        <w:t xml:space="preserve">and houseboat </w:t>
      </w:r>
      <w:r w:rsidR="000457B7">
        <w:t>dwellers</w:t>
      </w:r>
      <w:r>
        <w:t xml:space="preserve">. </w:t>
      </w:r>
    </w:p>
    <w:p w14:paraId="28BBC6D1" w14:textId="50B0216A" w:rsidR="007314BB" w:rsidRDefault="007314BB" w:rsidP="0014458C">
      <w:pPr>
        <w:pStyle w:val="Reporttext"/>
      </w:pPr>
      <w:r>
        <w:t>Appendix A sets out the legislative background that is relevant to accommodation issues and Appendix B provides a review of Government policy and guidance</w:t>
      </w:r>
      <w:r w:rsidR="00973790">
        <w:t xml:space="preserve"> that has been published in recent years</w:t>
      </w:r>
      <w:r>
        <w:t>, alongside other key reports and best practice advice.</w:t>
      </w:r>
    </w:p>
    <w:p w14:paraId="1949FD15" w14:textId="718286F3" w:rsidR="007314BB" w:rsidRDefault="007314BB" w:rsidP="0014458C">
      <w:pPr>
        <w:pStyle w:val="Reporttext"/>
      </w:pPr>
      <w:r>
        <w:t xml:space="preserve">This chapter </w:t>
      </w:r>
      <w:r w:rsidR="003E6A70">
        <w:t xml:space="preserve">sets out the policy context within which this GTAA has been prepared, including a consideration of the local context in </w:t>
      </w:r>
      <w:r w:rsidR="00EE6DA0">
        <w:t>West Berkshire</w:t>
      </w:r>
      <w:r w:rsidR="00B24848">
        <w:t xml:space="preserve"> </w:t>
      </w:r>
      <w:r w:rsidR="00473EAA">
        <w:t>District</w:t>
      </w:r>
      <w:r w:rsidR="003E6A70">
        <w:t>.</w:t>
      </w:r>
    </w:p>
    <w:p w14:paraId="5FED932E" w14:textId="77777777" w:rsidR="007525B2" w:rsidRDefault="007525B2" w:rsidP="00B30E85">
      <w:pPr>
        <w:tabs>
          <w:tab w:val="num" w:pos="709"/>
        </w:tabs>
        <w:rPr>
          <w:rFonts w:cs="Arial"/>
        </w:rPr>
      </w:pPr>
    </w:p>
    <w:p w14:paraId="1DE63D8A" w14:textId="721D8E6A" w:rsidR="004F0014" w:rsidRDefault="00B30E85" w:rsidP="004F0014">
      <w:pPr>
        <w:pStyle w:val="Heading2"/>
      </w:pPr>
      <w:bookmarkStart w:id="59" w:name="_Toc510091952"/>
      <w:bookmarkStart w:id="60" w:name="_Toc13845465"/>
      <w:r>
        <w:t>Government policy and guidanc</w:t>
      </w:r>
      <w:r w:rsidR="004F0014">
        <w:t>e</w:t>
      </w:r>
      <w:bookmarkEnd w:id="59"/>
      <w:bookmarkEnd w:id="60"/>
    </w:p>
    <w:p w14:paraId="24D387B0" w14:textId="1596B2E3" w:rsidR="004F0014" w:rsidRDefault="004F0014" w:rsidP="004F0014">
      <w:pPr>
        <w:pStyle w:val="Heading3"/>
      </w:pPr>
      <w:r>
        <w:t>Gypsy and Traveller Accommodat</w:t>
      </w:r>
      <w:r w:rsidR="00FD6B85">
        <w:t xml:space="preserve">ion Needs Assessments Guidance 2007 </w:t>
      </w:r>
      <w:r>
        <w:t>(withdrawn)</w:t>
      </w:r>
    </w:p>
    <w:p w14:paraId="62093963" w14:textId="251220C1" w:rsidR="004F0014" w:rsidRPr="00C43AFC" w:rsidRDefault="004F0014" w:rsidP="0014458C">
      <w:pPr>
        <w:pStyle w:val="Reporttext"/>
      </w:pPr>
      <w:r w:rsidRPr="00C43AFC">
        <w:t xml:space="preserve">The calculation of pitch/plot requirements in the GTAA </w:t>
      </w:r>
      <w:r>
        <w:t>201</w:t>
      </w:r>
      <w:r w:rsidR="00AF21FD">
        <w:t>9</w:t>
      </w:r>
      <w:r>
        <w:t xml:space="preserve"> </w:t>
      </w:r>
      <w:r w:rsidRPr="00C43AFC">
        <w:t xml:space="preserve">is based on established DCLG modelling methodology, as advocated in </w:t>
      </w:r>
      <w:r w:rsidRPr="0014458C">
        <w:rPr>
          <w:i/>
        </w:rPr>
        <w:t>Gypsy and Traveller Accommodation Needs Assessment Guidance</w:t>
      </w:r>
      <w:r w:rsidRPr="00C43AFC">
        <w:t xml:space="preserve"> (DCLG, 2007). Although this Guidance was formally withdrawn in December 2016, in the absence of any updated guidance on the subject it continues to provide a best practi</w:t>
      </w:r>
      <w:r w:rsidR="00C73BC5">
        <w:t>ce approach for needs modelling</w:t>
      </w:r>
      <w:r w:rsidRPr="00C43AFC">
        <w:t>.</w:t>
      </w:r>
    </w:p>
    <w:p w14:paraId="16EB6BA0" w14:textId="77777777" w:rsidR="004F0014" w:rsidRDefault="004F0014" w:rsidP="0014458C">
      <w:pPr>
        <w:pStyle w:val="Reporttext"/>
      </w:pPr>
      <w:r w:rsidRPr="00C43AFC">
        <w:t>This approach comprises an assessment of the current needs of Gypsies and Travellers and Travelling Showpeople and a projection of future needs. The Guidance advocates the use of a fieldwork survey to supplement secondary source information and derive key supply and demand information.</w:t>
      </w:r>
    </w:p>
    <w:p w14:paraId="5806F4B2" w14:textId="77777777" w:rsidR="004F0014" w:rsidRDefault="004F0014" w:rsidP="0014458C"/>
    <w:p w14:paraId="5A861CBD" w14:textId="113276DF" w:rsidR="004977F2" w:rsidRPr="004977F2" w:rsidRDefault="004977F2" w:rsidP="004977F2">
      <w:pPr>
        <w:pStyle w:val="Heading3"/>
      </w:pPr>
      <w:r>
        <w:t>Planning policy for traveller sites</w:t>
      </w:r>
      <w:r w:rsidR="00607447">
        <w:t>, PPTS 2012</w:t>
      </w:r>
    </w:p>
    <w:p w14:paraId="0A7118B6" w14:textId="1E808EE2" w:rsidR="007525B2" w:rsidRPr="00284512" w:rsidRDefault="007525B2" w:rsidP="0014458C">
      <w:pPr>
        <w:pStyle w:val="Reporttext"/>
      </w:pPr>
      <w:r>
        <w:t>In 2012</w:t>
      </w:r>
      <w:r w:rsidR="007A3BA9">
        <w:t>,</w:t>
      </w:r>
      <w:r>
        <w:t xml:space="preserve"> the Government published the </w:t>
      </w:r>
      <w:r w:rsidR="00C73BC5">
        <w:t xml:space="preserve">original </w:t>
      </w:r>
      <w:r>
        <w:t>National Planning Policy Framework (NPPF)</w:t>
      </w:r>
      <w:r>
        <w:rPr>
          <w:vertAlign w:val="superscript"/>
        </w:rPr>
        <w:footnoteReference w:id="6"/>
      </w:r>
      <w:r>
        <w:t xml:space="preserve"> and its accompanying National </w:t>
      </w:r>
      <w:r w:rsidRPr="00A515D0">
        <w:t xml:space="preserve">Planning </w:t>
      </w:r>
      <w:r>
        <w:t xml:space="preserve">Practice Guidance (NPPG) </w:t>
      </w:r>
      <w:r w:rsidR="007A3BA9">
        <w:t xml:space="preserve">documents </w:t>
      </w:r>
      <w:r>
        <w:t>covering a range of topics</w:t>
      </w:r>
      <w:r w:rsidR="00C73BC5">
        <w:t xml:space="preserve"> (now superseded by NPPF 2018)</w:t>
      </w:r>
      <w:r w:rsidR="007A3BA9">
        <w:t xml:space="preserve">. They also published some </w:t>
      </w:r>
      <w:r w:rsidR="00973790">
        <w:t xml:space="preserve">separate </w:t>
      </w:r>
      <w:r w:rsidR="007A3BA9">
        <w:t>planning policy documents</w:t>
      </w:r>
      <w:r>
        <w:t xml:space="preserve">, including </w:t>
      </w:r>
      <w:r w:rsidRPr="0014458C">
        <w:rPr>
          <w:i/>
        </w:rPr>
        <w:t>Planning policy for traveller sites</w:t>
      </w:r>
      <w:r>
        <w:rPr>
          <w:vertAlign w:val="superscript"/>
        </w:rPr>
        <w:footnoteReference w:id="7"/>
      </w:r>
      <w:r w:rsidRPr="0014458C">
        <w:rPr>
          <w:i/>
        </w:rPr>
        <w:t xml:space="preserve"> </w:t>
      </w:r>
      <w:r>
        <w:t xml:space="preserve">(PPTS 2012). These documents replaced all previous national planning policy in respect of Gypsies and Travellers and Travelling Showpeople. </w:t>
      </w:r>
    </w:p>
    <w:p w14:paraId="016AC2A9" w14:textId="386107E2" w:rsidR="007525B2" w:rsidRPr="00973790" w:rsidRDefault="007525B2" w:rsidP="0014458C">
      <w:pPr>
        <w:pStyle w:val="Reporttext"/>
      </w:pPr>
      <w:r w:rsidRPr="00E06EC8">
        <w:t xml:space="preserve">Previously, local planning authorities had been required to set aside enough land for Gypsy and Traveller sites, with </w:t>
      </w:r>
      <w:r w:rsidR="000811FE" w:rsidRPr="00E06EC8">
        <w:t xml:space="preserve">their </w:t>
      </w:r>
      <w:r w:rsidR="00907E89">
        <w:t>targets set in regional plans. However, t</w:t>
      </w:r>
      <w:r w:rsidRPr="00E06EC8">
        <w:t>he Coalition Government abolished regional planning under the prov</w:t>
      </w:r>
      <w:r w:rsidR="00907E89">
        <w:t xml:space="preserve">isions of the Localism Act 2011. The approach set out in PPTS 2012 </w:t>
      </w:r>
      <w:r w:rsidRPr="00E06EC8">
        <w:t xml:space="preserve">instead encouraged local planning authorities to form their own evidence base for </w:t>
      </w:r>
      <w:r w:rsidR="00907E89">
        <w:t xml:space="preserve">accommodation </w:t>
      </w:r>
      <w:r w:rsidRPr="00E06EC8">
        <w:t>needs in their area and use this to set their own pitch and plot targets for their Local Plan.</w:t>
      </w:r>
    </w:p>
    <w:p w14:paraId="42757402" w14:textId="62F91349" w:rsidR="00DA3C7D" w:rsidRDefault="00DA3C7D" w:rsidP="00DA3C7D">
      <w:pPr>
        <w:pStyle w:val="Heading3"/>
      </w:pPr>
      <w:r>
        <w:t>Written Ministerial Statement</w:t>
      </w:r>
      <w:r w:rsidR="00607447">
        <w:t>,</w:t>
      </w:r>
      <w:r w:rsidR="00882CB6" w:rsidRPr="00882CB6">
        <w:t xml:space="preserve"> </w:t>
      </w:r>
      <w:r w:rsidR="00882CB6">
        <w:t>July 2015</w:t>
      </w:r>
    </w:p>
    <w:p w14:paraId="21A69779" w14:textId="0BC94858" w:rsidR="00DA3C7D" w:rsidRDefault="0042211B" w:rsidP="0014458C">
      <w:pPr>
        <w:pStyle w:val="Reporttext"/>
      </w:pPr>
      <w:r>
        <w:t>Technical adjustments were made to paragraphs 49 and 159 of the NPPF</w:t>
      </w:r>
      <w:r w:rsidR="005735F9">
        <w:t xml:space="preserve"> by a Written Ministerial Statement (WMS) on 22</w:t>
      </w:r>
      <w:r w:rsidR="005735F9" w:rsidRPr="0014458C">
        <w:rPr>
          <w:vertAlign w:val="superscript"/>
        </w:rPr>
        <w:t>nd</w:t>
      </w:r>
      <w:r w:rsidR="005735F9">
        <w:t xml:space="preserve"> July 2015</w:t>
      </w:r>
      <w:r w:rsidR="005735F9">
        <w:rPr>
          <w:rStyle w:val="FootnoteReference"/>
        </w:rPr>
        <w:footnoteReference w:id="8"/>
      </w:r>
      <w:r>
        <w:t xml:space="preserve">, following a High Court judgement (Wenman v Secretary of State). </w:t>
      </w:r>
    </w:p>
    <w:p w14:paraId="258CFED7" w14:textId="0023FDAC" w:rsidR="00882CB6" w:rsidRDefault="00882CB6" w:rsidP="0014458C">
      <w:pPr>
        <w:pStyle w:val="Reporttext"/>
      </w:pPr>
      <w:r>
        <w:t xml:space="preserve">In relation to paragraph 49, the WMS stated that </w:t>
      </w:r>
      <w:r w:rsidRPr="00DA3C7D">
        <w:rPr>
          <w:lang w:eastAsia="en-GB"/>
        </w:rPr>
        <w:t xml:space="preserve">those persons who fall within the definition of ‘traveller’ under the </w:t>
      </w:r>
      <w:r>
        <w:rPr>
          <w:lang w:eastAsia="en-GB"/>
        </w:rPr>
        <w:t>PPTS</w:t>
      </w:r>
      <w:r w:rsidRPr="00DA3C7D">
        <w:rPr>
          <w:lang w:eastAsia="en-GB"/>
        </w:rPr>
        <w:t>, can</w:t>
      </w:r>
      <w:r w:rsidR="007173E7">
        <w:rPr>
          <w:lang w:eastAsia="en-GB"/>
        </w:rPr>
        <w:t>not rely on the lack of a five-y</w:t>
      </w:r>
      <w:r w:rsidRPr="00DA3C7D">
        <w:rPr>
          <w:lang w:eastAsia="en-GB"/>
        </w:rPr>
        <w:t xml:space="preserve">ear supply of deliverable housing sites under the </w:t>
      </w:r>
      <w:r>
        <w:rPr>
          <w:lang w:eastAsia="en-GB"/>
        </w:rPr>
        <w:t>NPPF</w:t>
      </w:r>
      <w:r w:rsidRPr="00DA3C7D">
        <w:rPr>
          <w:lang w:eastAsia="en-GB"/>
        </w:rPr>
        <w:t xml:space="preserve"> to show that relevant policies for the supply of housing are not up to date. Such persons</w:t>
      </w:r>
      <w:r w:rsidR="007173E7">
        <w:rPr>
          <w:lang w:eastAsia="en-GB"/>
        </w:rPr>
        <w:t xml:space="preserve"> should have the lack of a five-</w:t>
      </w:r>
      <w:r w:rsidRPr="00DA3C7D">
        <w:rPr>
          <w:lang w:eastAsia="en-GB"/>
        </w:rPr>
        <w:t>year supply of deliverable traveller sites considered in accordance with Planning Policy for Traveller Sites.</w:t>
      </w:r>
    </w:p>
    <w:p w14:paraId="591F2D0E" w14:textId="3E5AFE73" w:rsidR="00DA3C7D" w:rsidRPr="00882CB6" w:rsidRDefault="00882CB6" w:rsidP="0014458C">
      <w:pPr>
        <w:pStyle w:val="Reporttext"/>
        <w:rPr>
          <w:lang w:eastAsia="en-GB"/>
        </w:rPr>
      </w:pPr>
      <w:r>
        <w:rPr>
          <w:lang w:eastAsia="en-GB"/>
        </w:rPr>
        <w:t>Regarding paragraph 159</w:t>
      </w:r>
      <w:r w:rsidR="005735F9">
        <w:rPr>
          <w:lang w:eastAsia="en-GB"/>
        </w:rPr>
        <w:t>, the WMS clarified that the PPTS</w:t>
      </w:r>
      <w:r>
        <w:rPr>
          <w:lang w:eastAsia="en-GB"/>
        </w:rPr>
        <w:t xml:space="preserve"> </w:t>
      </w:r>
      <w:r w:rsidR="005735F9">
        <w:rPr>
          <w:lang w:eastAsia="en-GB"/>
        </w:rPr>
        <w:t>sets out how ‘travellers’</w:t>
      </w:r>
      <w:r w:rsidR="00DA3C7D" w:rsidRPr="00882CB6">
        <w:rPr>
          <w:lang w:eastAsia="en-GB"/>
        </w:rPr>
        <w:t xml:space="preserve"> accommodation needs should </w:t>
      </w:r>
      <w:r w:rsidR="005735F9">
        <w:rPr>
          <w:lang w:eastAsia="en-GB"/>
        </w:rPr>
        <w:t>be assessed. However, t</w:t>
      </w:r>
      <w:r w:rsidR="00DA3C7D" w:rsidRPr="00882CB6">
        <w:rPr>
          <w:lang w:eastAsia="en-GB"/>
        </w:rPr>
        <w:t xml:space="preserve">hose who do not fall under that definition should have their accommodation needs addressed under the provisions of the </w:t>
      </w:r>
      <w:r w:rsidR="005735F9">
        <w:rPr>
          <w:lang w:eastAsia="en-GB"/>
        </w:rPr>
        <w:t>NPPF</w:t>
      </w:r>
      <w:r w:rsidR="00DA3C7D" w:rsidRPr="00882CB6">
        <w:rPr>
          <w:lang w:eastAsia="en-GB"/>
        </w:rPr>
        <w:t>.</w:t>
      </w:r>
    </w:p>
    <w:p w14:paraId="2EF05402" w14:textId="77777777" w:rsidR="00DA3C7D" w:rsidRPr="00B30E85" w:rsidRDefault="00DA3C7D" w:rsidP="0014458C">
      <w:pPr>
        <w:pStyle w:val="Reporttext"/>
        <w:numPr>
          <w:ilvl w:val="0"/>
          <w:numId w:val="0"/>
        </w:numPr>
        <w:ind w:left="709"/>
      </w:pPr>
    </w:p>
    <w:p w14:paraId="3A589A29" w14:textId="225BAF78" w:rsidR="00973790" w:rsidRDefault="00973790" w:rsidP="00973790">
      <w:pPr>
        <w:pStyle w:val="Heading3"/>
      </w:pPr>
      <w:r>
        <w:t>PPTS 2015</w:t>
      </w:r>
    </w:p>
    <w:p w14:paraId="49C2961A" w14:textId="5B03C13D" w:rsidR="00726A86" w:rsidRPr="0014458C" w:rsidRDefault="00B30E85" w:rsidP="0014458C">
      <w:pPr>
        <w:pStyle w:val="Reporttext"/>
        <w:rPr>
          <w:rFonts w:cs="Arial"/>
        </w:rPr>
      </w:pPr>
      <w:r w:rsidRPr="0014458C">
        <w:rPr>
          <w:rFonts w:cs="Arial"/>
        </w:rPr>
        <w:t xml:space="preserve">An </w:t>
      </w:r>
      <w:r w:rsidR="00D975E3" w:rsidRPr="0014458C">
        <w:rPr>
          <w:rFonts w:cs="Arial"/>
        </w:rPr>
        <w:t xml:space="preserve">updated </w:t>
      </w:r>
      <w:r w:rsidRPr="0014458C">
        <w:rPr>
          <w:rFonts w:cs="Arial"/>
          <w:i/>
        </w:rPr>
        <w:t>Planning policy for traveller sites</w:t>
      </w:r>
      <w:r w:rsidRPr="0014458C">
        <w:rPr>
          <w:rFonts w:cs="Arial"/>
        </w:rPr>
        <w:t xml:space="preserve"> (PPTS 2015) was </w:t>
      </w:r>
      <w:r w:rsidR="00726A86" w:rsidRPr="0014458C">
        <w:rPr>
          <w:rFonts w:cs="Arial"/>
        </w:rPr>
        <w:t xml:space="preserve">published in </w:t>
      </w:r>
      <w:r w:rsidRPr="0014458C">
        <w:rPr>
          <w:rFonts w:cs="Arial"/>
        </w:rPr>
        <w:t>August 2015</w:t>
      </w:r>
      <w:r w:rsidRPr="00DC16C1">
        <w:rPr>
          <w:rFonts w:cs="Arial"/>
          <w:vertAlign w:val="superscript"/>
        </w:rPr>
        <w:footnoteReference w:id="9"/>
      </w:r>
      <w:r w:rsidRPr="0014458C">
        <w:rPr>
          <w:rFonts w:cs="Arial"/>
        </w:rPr>
        <w:t xml:space="preserve">. </w:t>
      </w:r>
      <w:r w:rsidR="00726A86" w:rsidRPr="0014458C">
        <w:rPr>
          <w:rFonts w:cs="Arial"/>
        </w:rPr>
        <w:t xml:space="preserve">PPTS 2015 </w:t>
      </w:r>
      <w:r w:rsidR="00726A86">
        <w:t xml:space="preserve">introduced some key changes to policy, including by changing the definitions of </w:t>
      </w:r>
      <w:r w:rsidR="00284F90">
        <w:t>‘</w:t>
      </w:r>
      <w:r w:rsidR="00726A86">
        <w:t>Gypsy and Traveller</w:t>
      </w:r>
      <w:r w:rsidR="00284F90">
        <w:t>’</w:t>
      </w:r>
      <w:r w:rsidR="00726A86">
        <w:t xml:space="preserve"> and </w:t>
      </w:r>
      <w:r w:rsidR="00284F90">
        <w:t>‘</w:t>
      </w:r>
      <w:r w:rsidR="00726A86">
        <w:t>Travelling Showperson</w:t>
      </w:r>
      <w:r w:rsidR="00284F90">
        <w:t>’</w:t>
      </w:r>
      <w:r w:rsidR="00726A86">
        <w:t xml:space="preserve"> </w:t>
      </w:r>
      <w:r w:rsidR="00892B49">
        <w:t xml:space="preserve">by deleting the word ‘permanently’ in relation to their travelling habits, </w:t>
      </w:r>
      <w:r w:rsidR="00726A86">
        <w:t xml:space="preserve">so </w:t>
      </w:r>
      <w:r w:rsidR="00EB4130">
        <w:t>that for planning-related purposes the definitions of Gypsies and Travellers and Travelling Showpeople have been changed to exclude those who have permanently stopped travelling</w:t>
      </w:r>
      <w:r w:rsidR="00726A86">
        <w:t xml:space="preserve">. </w:t>
      </w:r>
      <w:r w:rsidR="00892B49">
        <w:t xml:space="preserve">In addition, the following ‘clarification’ </w:t>
      </w:r>
      <w:r w:rsidR="00F743A0">
        <w:t>was</w:t>
      </w:r>
      <w:r w:rsidR="00892B49">
        <w:t xml:space="preserve"> added:</w:t>
      </w:r>
    </w:p>
    <w:p w14:paraId="4EDEEAEE" w14:textId="77777777" w:rsidR="00892B49" w:rsidRPr="00892B49" w:rsidRDefault="00892B49" w:rsidP="0014458C">
      <w:pPr>
        <w:pStyle w:val="Reporttext"/>
      </w:pPr>
      <w:r w:rsidRPr="00892B49">
        <w:t xml:space="preserve">‘In determining whether persons are “gypsies and travellers” for the purposes of this planning policy, consideration should be given to the following issues amongst other relevant matters: </w:t>
      </w:r>
    </w:p>
    <w:p w14:paraId="58E79236" w14:textId="77777777" w:rsidR="00892B49" w:rsidRPr="00892B49" w:rsidRDefault="00892B49" w:rsidP="0014458C">
      <w:pPr>
        <w:pStyle w:val="Reporttext"/>
        <w:numPr>
          <w:ilvl w:val="0"/>
          <w:numId w:val="0"/>
        </w:numPr>
        <w:ind w:left="709"/>
      </w:pPr>
      <w:r w:rsidRPr="00892B49">
        <w:t>a)</w:t>
      </w:r>
      <w:r w:rsidRPr="00892B49">
        <w:tab/>
        <w:t>whether they previously led a nomadic habit of life</w:t>
      </w:r>
    </w:p>
    <w:p w14:paraId="46E11515" w14:textId="6FF7AC9C" w:rsidR="00892B49" w:rsidRPr="00892B49" w:rsidRDefault="00892B49" w:rsidP="0014458C">
      <w:pPr>
        <w:pStyle w:val="Reporttext"/>
        <w:numPr>
          <w:ilvl w:val="0"/>
          <w:numId w:val="0"/>
        </w:numPr>
        <w:ind w:left="709"/>
      </w:pPr>
      <w:r>
        <w:t>b)</w:t>
      </w:r>
      <w:r w:rsidRPr="00892B49">
        <w:tab/>
        <w:t>the reasons for ceasing their nomadic habit of life</w:t>
      </w:r>
    </w:p>
    <w:p w14:paraId="4C5335A1" w14:textId="0BA5CF2A" w:rsidR="00892B49" w:rsidRPr="00726A86" w:rsidRDefault="00892B49" w:rsidP="0014458C">
      <w:pPr>
        <w:pStyle w:val="Reporttext"/>
        <w:numPr>
          <w:ilvl w:val="0"/>
          <w:numId w:val="0"/>
        </w:numPr>
        <w:ind w:left="1440" w:hanging="731"/>
      </w:pPr>
      <w:r w:rsidRPr="00892B49">
        <w:t xml:space="preserve">c) </w:t>
      </w:r>
      <w:r w:rsidRPr="00892B49">
        <w:tab/>
        <w:t>whether there is an intention of living a nomadic habit of life in the future, and if so, how soon and in what circumstances.’</w:t>
      </w:r>
      <w:r w:rsidRPr="00892B49">
        <w:rPr>
          <w:vertAlign w:val="superscript"/>
        </w:rPr>
        <w:footnoteReference w:id="10"/>
      </w:r>
    </w:p>
    <w:p w14:paraId="30962B5F" w14:textId="77777777" w:rsidR="004977F2" w:rsidRDefault="004977F2" w:rsidP="0014458C">
      <w:pPr>
        <w:pStyle w:val="Reporttext"/>
        <w:numPr>
          <w:ilvl w:val="0"/>
          <w:numId w:val="0"/>
        </w:numPr>
        <w:ind w:left="709"/>
      </w:pPr>
    </w:p>
    <w:p w14:paraId="0C0A980F" w14:textId="3FC44F11" w:rsidR="004977F2" w:rsidRPr="004977F2" w:rsidRDefault="004977F2" w:rsidP="004977F2">
      <w:pPr>
        <w:pStyle w:val="Heading3"/>
      </w:pPr>
      <w:r>
        <w:t>Planning policy statement</w:t>
      </w:r>
      <w:r w:rsidR="00F743A0">
        <w:t>, August 2015</w:t>
      </w:r>
    </w:p>
    <w:p w14:paraId="4756487F" w14:textId="0D410A37" w:rsidR="00B30E85" w:rsidRPr="00C61A77" w:rsidRDefault="00B30E85" w:rsidP="0014458C">
      <w:pPr>
        <w:pStyle w:val="Reporttext"/>
      </w:pPr>
      <w:r w:rsidRPr="00DC16C1">
        <w:t xml:space="preserve">Alongside the publication </w:t>
      </w:r>
      <w:r w:rsidR="00D975E3">
        <w:t>of the revised policy document</w:t>
      </w:r>
      <w:r w:rsidR="00726A86">
        <w:t xml:space="preserve"> on 31</w:t>
      </w:r>
      <w:r w:rsidR="00726A86" w:rsidRPr="0014458C">
        <w:rPr>
          <w:vertAlign w:val="superscript"/>
        </w:rPr>
        <w:t>st</w:t>
      </w:r>
      <w:r w:rsidR="00726A86">
        <w:t xml:space="preserve"> August 2015</w:t>
      </w:r>
      <w:r w:rsidRPr="00DC16C1">
        <w:t xml:space="preserve">, a letter </w:t>
      </w:r>
      <w:r w:rsidR="00D975E3">
        <w:t>and accompanyi</w:t>
      </w:r>
      <w:r w:rsidR="00726A86">
        <w:t>ng planning policy statement were</w:t>
      </w:r>
      <w:r w:rsidR="00D975E3">
        <w:t xml:space="preserve"> issued by </w:t>
      </w:r>
      <w:r w:rsidR="00D975E3" w:rsidRPr="00DC16C1">
        <w:t>the DCLG Chief Planner (Steve Quartermain)</w:t>
      </w:r>
      <w:r w:rsidR="00D975E3" w:rsidRPr="00DC16C1">
        <w:rPr>
          <w:vertAlign w:val="superscript"/>
        </w:rPr>
        <w:footnoteReference w:id="11"/>
      </w:r>
      <w:r w:rsidR="00D975E3" w:rsidRPr="00DC16C1">
        <w:t xml:space="preserve"> </w:t>
      </w:r>
      <w:r w:rsidRPr="00DC16C1">
        <w:t>to Chi</w:t>
      </w:r>
      <w:r w:rsidR="00D975E3">
        <w:t>ef Planning Officers in England. T</w:t>
      </w:r>
      <w:r w:rsidRPr="00DC16C1">
        <w:t xml:space="preserve">he letter and planning policy statement dealt specifically with the issue of </w:t>
      </w:r>
      <w:r w:rsidRPr="0014458C">
        <w:rPr>
          <w:i/>
        </w:rPr>
        <w:t>Green Belt protection and intentional unauthorised development</w:t>
      </w:r>
      <w:r w:rsidRPr="00DC16C1">
        <w:t>. On 17</w:t>
      </w:r>
      <w:r w:rsidRPr="0014458C">
        <w:rPr>
          <w:vertAlign w:val="superscript"/>
        </w:rPr>
        <w:t>th</w:t>
      </w:r>
      <w:r w:rsidRPr="00DC16C1">
        <w:t xml:space="preserve"> December 2015, the Minister of State for Housing and Planning (Brandon Lewis) made a Written Statement confirming the changes to national policy set out in the letter and statement</w:t>
      </w:r>
      <w:r w:rsidR="004977F2">
        <w:t>.</w:t>
      </w:r>
      <w:r w:rsidRPr="00DC16C1">
        <w:rPr>
          <w:vertAlign w:val="superscript"/>
        </w:rPr>
        <w:footnoteReference w:id="12"/>
      </w:r>
    </w:p>
    <w:p w14:paraId="13319EA0" w14:textId="77777777" w:rsidR="00C61A77" w:rsidRDefault="00C61A77" w:rsidP="003E6544">
      <w:pPr>
        <w:pStyle w:val="Reporttext"/>
        <w:numPr>
          <w:ilvl w:val="0"/>
          <w:numId w:val="0"/>
        </w:numPr>
        <w:ind w:left="709"/>
      </w:pPr>
    </w:p>
    <w:p w14:paraId="19827E3B" w14:textId="2721D0FA" w:rsidR="00B30E85" w:rsidRPr="00B30E85" w:rsidRDefault="00045ACB" w:rsidP="00973790">
      <w:pPr>
        <w:pStyle w:val="Heading4"/>
      </w:pPr>
      <w:r>
        <w:t>Green Belt</w:t>
      </w:r>
      <w:r w:rsidR="00936365">
        <w:t xml:space="preserve"> and intentional unauthorised development</w:t>
      </w:r>
    </w:p>
    <w:p w14:paraId="304E3519" w14:textId="1A333C4A" w:rsidR="00EB4130" w:rsidRPr="00EB4130" w:rsidRDefault="00755740" w:rsidP="0014458C">
      <w:pPr>
        <w:pStyle w:val="Reporttext"/>
      </w:pPr>
      <w:r>
        <w:t>PPTS 2015</w:t>
      </w:r>
      <w:r w:rsidR="00EB4130" w:rsidRPr="00EB4130">
        <w:t xml:space="preserve"> (paragraph 10) states that local planning authorities should identify and update annually a supply of specific deliverable sites sufficient to provide five years’ worth</w:t>
      </w:r>
      <w:r w:rsidR="0044580F">
        <w:t xml:space="preserve"> of sites against their locally-</w:t>
      </w:r>
      <w:r w:rsidR="00EB4130" w:rsidRPr="00EB4130">
        <w:t xml:space="preserve">set targets. In relation to the determination of planning applications, PPTS </w:t>
      </w:r>
      <w:r w:rsidR="00631740">
        <w:t xml:space="preserve">2015 </w:t>
      </w:r>
      <w:r w:rsidR="00EB4130" w:rsidRPr="00EB4130">
        <w:t xml:space="preserve">(paragraph 27) states that if </w:t>
      </w:r>
      <w:r w:rsidR="00F33846" w:rsidRPr="00EB4130">
        <w:t>an</w:t>
      </w:r>
      <w:r w:rsidR="00EB4130" w:rsidRPr="00EB4130">
        <w:t xml:space="preserve"> LPA cannot demonstrate an up-to-date five-year supply of deliverable sites then this should be a significant material consideration in any subsequent planning decision when considering applications for the grant of temporary planning permission. However, it also sets out that the exception to this is where the proposal is on land designated as Green Belt, sites protected under the Birds and Habitats Directives, sites designated as Sites of Special Scientific Interest, Local Green Space, Areas of Outstanding Natural Beauty or within a National Park or the Broads. </w:t>
      </w:r>
    </w:p>
    <w:p w14:paraId="3F8504E2" w14:textId="6232333F" w:rsidR="00B30E85" w:rsidRDefault="00EB4130" w:rsidP="0014458C">
      <w:pPr>
        <w:pStyle w:val="Reporttext"/>
      </w:pPr>
      <w:r w:rsidRPr="00EB4130">
        <w:t xml:space="preserve">PPTS </w:t>
      </w:r>
      <w:r w:rsidR="00631740">
        <w:t xml:space="preserve">2015 </w:t>
      </w:r>
      <w:r w:rsidRPr="00EB4130">
        <w:t xml:space="preserve">(paragraph 16) and the accompanying planning policy statement on </w:t>
      </w:r>
      <w:r w:rsidRPr="0014458C">
        <w:rPr>
          <w:i/>
        </w:rPr>
        <w:t>Green Belt protection and intentional unauthorised development</w:t>
      </w:r>
      <w:r w:rsidRPr="00EB4130">
        <w:t xml:space="preserve"> clearly set out that unmet need and personal circumstances (subject to the best interests of the child) are unlikely to clearly outweigh harm to the Green Belt so as to establish </w:t>
      </w:r>
      <w:r w:rsidR="00C43AFC">
        <w:t>‘</w:t>
      </w:r>
      <w:r w:rsidRPr="00EB4130">
        <w:t>very special circumstances</w:t>
      </w:r>
      <w:r w:rsidR="00C43AFC">
        <w:t>’ and allow development to be permitted</w:t>
      </w:r>
      <w:r w:rsidRPr="00EB4130">
        <w:t>.</w:t>
      </w:r>
    </w:p>
    <w:p w14:paraId="3AE4DE04" w14:textId="77777777" w:rsidR="00C61A77" w:rsidRDefault="00C61A77" w:rsidP="003E6544">
      <w:pPr>
        <w:pStyle w:val="Reporttext"/>
        <w:numPr>
          <w:ilvl w:val="0"/>
          <w:numId w:val="0"/>
        </w:numPr>
        <w:ind w:left="709"/>
      </w:pPr>
    </w:p>
    <w:p w14:paraId="50C2EF3B" w14:textId="4657F3A7" w:rsidR="00B30E85" w:rsidRDefault="00486A82" w:rsidP="00973790">
      <w:pPr>
        <w:pStyle w:val="Heading4"/>
      </w:pPr>
      <w:r>
        <w:t>Intentional u</w:t>
      </w:r>
      <w:r w:rsidR="00B30E85">
        <w:t xml:space="preserve">nauthorised </w:t>
      </w:r>
      <w:r>
        <w:t>development</w:t>
      </w:r>
    </w:p>
    <w:p w14:paraId="4316CB6B" w14:textId="77777777" w:rsidR="00B30E85" w:rsidRDefault="00B30E85" w:rsidP="0014458C">
      <w:pPr>
        <w:pStyle w:val="Reporttext"/>
      </w:pPr>
      <w:r w:rsidRPr="00DC16C1">
        <w:t>The planning policy statement issued with PPTS 2015</w:t>
      </w:r>
      <w:r w:rsidRPr="00DC16C1">
        <w:rPr>
          <w:vertAlign w:val="superscript"/>
        </w:rPr>
        <w:footnoteReference w:id="13"/>
      </w:r>
      <w:r w:rsidRPr="00DC16C1">
        <w:t xml:space="preserve"> (and confirmed by Ministerial Statement</w:t>
      </w:r>
      <w:r w:rsidRPr="00DC16C1">
        <w:rPr>
          <w:vertAlign w:val="superscript"/>
        </w:rPr>
        <w:footnoteReference w:id="14"/>
      </w:r>
      <w:r w:rsidRPr="00DC16C1">
        <w:t xml:space="preserve">) </w:t>
      </w:r>
      <w:r>
        <w:t>makes clear that if a site is intentionally occupied without planning permission this would be a material consideration in any retrospective planning application for that site. Whilst this does not mean that retrospective applications will be automatically refused, it does mean that failure to seek permission in advance of occupation will count against the application.</w:t>
      </w:r>
    </w:p>
    <w:p w14:paraId="2199E094" w14:textId="0DDAEEEF" w:rsidR="00B30E85" w:rsidRDefault="00B30E85" w:rsidP="0014458C">
      <w:pPr>
        <w:pStyle w:val="Reporttext"/>
      </w:pPr>
      <w:r>
        <w:t xml:space="preserve">In addition, PPTS 2015 </w:t>
      </w:r>
      <w:r w:rsidR="00C43AFC">
        <w:t xml:space="preserve">(paragraph 12) </w:t>
      </w:r>
      <w:r>
        <w:t xml:space="preserve">makes clear that in exceptional cases where a local authority is burdened by a large-scale unauthorised site that has significantly increased </w:t>
      </w:r>
      <w:r w:rsidR="00276E1A">
        <w:t xml:space="preserve">their </w:t>
      </w:r>
      <w:r>
        <w:t>need</w:t>
      </w:r>
      <w:r w:rsidR="00276E1A">
        <w:t>,</w:t>
      </w:r>
      <w:r>
        <w:t xml:space="preserve"> and their area is subject to strict </w:t>
      </w:r>
      <w:r w:rsidR="00276E1A">
        <w:t xml:space="preserve">and special </w:t>
      </w:r>
      <w:r>
        <w:t>planning constraints</w:t>
      </w:r>
      <w:r w:rsidR="00276E1A">
        <w:t>,</w:t>
      </w:r>
      <w:r>
        <w:t xml:space="preserve"> then there is no assumption that the local authority will be required to meet their Gypsy and Traveller site needs in full. This is intended to </w:t>
      </w:r>
      <w:r w:rsidR="0016366A">
        <w:t>protect local planning authorities with significant land constraints from being required to provide for additional needs arising directly from large sites such as Dale Farm (</w:t>
      </w:r>
      <w:r>
        <w:t>a la</w:t>
      </w:r>
      <w:r w:rsidR="0016366A">
        <w:t>rge unauthorised site in Essex)</w:t>
      </w:r>
      <w:r>
        <w:t>.</w:t>
      </w:r>
    </w:p>
    <w:p w14:paraId="05149A9A" w14:textId="77777777" w:rsidR="00862C35" w:rsidRDefault="00862C35" w:rsidP="003E6544">
      <w:pPr>
        <w:pStyle w:val="Reporttext"/>
        <w:numPr>
          <w:ilvl w:val="0"/>
          <w:numId w:val="0"/>
        </w:numPr>
        <w:ind w:left="709"/>
      </w:pPr>
    </w:p>
    <w:p w14:paraId="51010354" w14:textId="0720483A" w:rsidR="00862C35" w:rsidRPr="003D544E" w:rsidRDefault="00862C35" w:rsidP="00862C35">
      <w:pPr>
        <w:pStyle w:val="Heading3"/>
      </w:pPr>
      <w:r w:rsidRPr="003D544E">
        <w:t xml:space="preserve">Draft </w:t>
      </w:r>
      <w:r w:rsidR="00FA3ECC">
        <w:t>G</w:t>
      </w:r>
      <w:r w:rsidRPr="003D544E">
        <w:t>uidance to local housing authorities on the periodical review of housing needs: caravans and houseboats</w:t>
      </w:r>
      <w:r w:rsidR="00F743A0">
        <w:t>, March 2016</w:t>
      </w:r>
    </w:p>
    <w:p w14:paraId="2EE998BD" w14:textId="7EE8AA78" w:rsidR="00862C35" w:rsidRPr="003D544E" w:rsidRDefault="00862C35" w:rsidP="0014458C">
      <w:pPr>
        <w:pStyle w:val="Reporttext"/>
      </w:pPr>
      <w:r w:rsidRPr="003D544E">
        <w:t xml:space="preserve">In March 2016, the DCLG published </w:t>
      </w:r>
      <w:r w:rsidRPr="0014458C">
        <w:rPr>
          <w:i/>
        </w:rPr>
        <w:t>Draft guidance on the periodical review of housing needs: Caravans and Houseboats</w:t>
      </w:r>
      <w:r w:rsidRPr="003D544E">
        <w:t xml:space="preserve">. The draft </w:t>
      </w:r>
      <w:r w:rsidR="00FA3ECC">
        <w:t>G</w:t>
      </w:r>
      <w:r w:rsidR="00F743A0">
        <w:t>uidance related</w:t>
      </w:r>
      <w:r w:rsidRPr="003D544E">
        <w:t xml:space="preserve"> to Clause 115 of the Housing and Planning Bill, which has become Section 124 of the Housing and Planning Act 2016 (passed in May 2016).</w:t>
      </w:r>
    </w:p>
    <w:p w14:paraId="529561BA" w14:textId="111268C8" w:rsidR="00862C35" w:rsidRPr="003D544E" w:rsidRDefault="00862C35" w:rsidP="0014458C">
      <w:pPr>
        <w:pStyle w:val="Reporttext"/>
      </w:pPr>
      <w:r w:rsidRPr="003D544E">
        <w:t xml:space="preserve">The draft </w:t>
      </w:r>
      <w:r w:rsidR="00FA3ECC">
        <w:t>G</w:t>
      </w:r>
      <w:r w:rsidRPr="003D544E">
        <w:t xml:space="preserve">uidance explains how Government wants local housing authorities to interpret changes to accommodation needs assessments (as required by Section 8 of the Housing Act 1985), specifically in relation to caravans and houseboats. </w:t>
      </w:r>
    </w:p>
    <w:p w14:paraId="47D2F8F5" w14:textId="654A8E8A" w:rsidR="00862C35" w:rsidRPr="00D93A05" w:rsidRDefault="00862C35" w:rsidP="0014458C">
      <w:pPr>
        <w:pStyle w:val="Reporttext"/>
      </w:pPr>
      <w:r w:rsidRPr="003D544E">
        <w:t xml:space="preserve">In the carrying out of accommodation needs assessments, the draft </w:t>
      </w:r>
      <w:r w:rsidR="00FA3ECC">
        <w:t>G</w:t>
      </w:r>
      <w:r w:rsidRPr="003D544E">
        <w:t xml:space="preserve">uidance stresses the importance of close engagement with the community. The use of existing data along with </w:t>
      </w:r>
      <w:r w:rsidRPr="00D93A05">
        <w:t>conducting a specialist survey is recommended.</w:t>
      </w:r>
    </w:p>
    <w:p w14:paraId="03A5A76C" w14:textId="459756B1" w:rsidR="00862C35" w:rsidRPr="00E31C82" w:rsidRDefault="00862C35" w:rsidP="0014458C">
      <w:pPr>
        <w:pStyle w:val="Reporttext"/>
      </w:pPr>
      <w:r w:rsidRPr="00D93A05">
        <w:t xml:space="preserve">The draft guidance has been </w:t>
      </w:r>
      <w:r w:rsidRPr="00E31C82">
        <w:t xml:space="preserve">taken into account in the planning, preparation and undertaking of this GTAA for </w:t>
      </w:r>
      <w:r w:rsidR="00EE6DA0">
        <w:t>West Berkshire</w:t>
      </w:r>
      <w:r w:rsidR="009C1C62">
        <w:t xml:space="preserve"> Council</w:t>
      </w:r>
      <w:r w:rsidRPr="00E31C82">
        <w:t>.</w:t>
      </w:r>
    </w:p>
    <w:p w14:paraId="436DEEF2" w14:textId="6B74A103" w:rsidR="00560F3A" w:rsidRPr="00E31C82" w:rsidRDefault="00560F3A" w:rsidP="003E6544">
      <w:pPr>
        <w:pStyle w:val="Reporttext"/>
        <w:numPr>
          <w:ilvl w:val="0"/>
          <w:numId w:val="0"/>
        </w:numPr>
        <w:ind w:left="709"/>
      </w:pPr>
    </w:p>
    <w:p w14:paraId="7451EDE4" w14:textId="727E5ECA" w:rsidR="00560F3A" w:rsidRPr="00E31C82" w:rsidRDefault="00560F3A" w:rsidP="00560F3A">
      <w:pPr>
        <w:pStyle w:val="Heading3"/>
      </w:pPr>
      <w:r w:rsidRPr="00E31C82">
        <w:t>National Planning Policy Framework (NPPF)</w:t>
      </w:r>
      <w:r w:rsidR="00F743A0" w:rsidRPr="00E31C82">
        <w:t xml:space="preserve">, </w:t>
      </w:r>
      <w:r w:rsidR="00CB485E" w:rsidRPr="00E31C82">
        <w:t>July</w:t>
      </w:r>
      <w:r w:rsidR="00F743A0" w:rsidRPr="00E31C82">
        <w:t xml:space="preserve"> 2018</w:t>
      </w:r>
      <w:r w:rsidR="00AF21FD">
        <w:t>/Feb 2019</w:t>
      </w:r>
    </w:p>
    <w:p w14:paraId="509016A3" w14:textId="700A8B45" w:rsidR="002105F4" w:rsidRPr="00E31C82" w:rsidRDefault="00CB485E" w:rsidP="0014458C">
      <w:pPr>
        <w:pStyle w:val="Reporttext"/>
      </w:pPr>
      <w:r w:rsidRPr="00E31C82">
        <w:t xml:space="preserve">Following a consultation </w:t>
      </w:r>
      <w:r w:rsidR="002105F4" w:rsidRPr="00E31C82">
        <w:t>published i</w:t>
      </w:r>
      <w:r w:rsidR="00560F3A" w:rsidRPr="00E31C82">
        <w:t xml:space="preserve">n March 2018, the Ministry of Housing, </w:t>
      </w:r>
      <w:r w:rsidR="003E6617" w:rsidRPr="00E31C82">
        <w:t xml:space="preserve">Communities and Local Government published </w:t>
      </w:r>
      <w:r w:rsidR="00C73BC5">
        <w:t>r</w:t>
      </w:r>
      <w:r w:rsidR="003E6617" w:rsidRPr="00E31C82">
        <w:t>evised National Planning Policy Framework (NPPF</w:t>
      </w:r>
      <w:r w:rsidR="00C73BC5">
        <w:t xml:space="preserve"> 2018</w:t>
      </w:r>
      <w:r w:rsidR="003E6617" w:rsidRPr="00E31C82">
        <w:t xml:space="preserve">) </w:t>
      </w:r>
      <w:r w:rsidR="002105F4" w:rsidRPr="00E31C82">
        <w:t>in July 2018</w:t>
      </w:r>
      <w:r w:rsidR="00AF21FD">
        <w:t xml:space="preserve"> and updated in February 2019</w:t>
      </w:r>
      <w:r w:rsidR="003E6617" w:rsidRPr="00E31C82">
        <w:t xml:space="preserve">. </w:t>
      </w:r>
    </w:p>
    <w:p w14:paraId="273A56D1" w14:textId="2C8E546F" w:rsidR="003E6617" w:rsidRPr="00E31C82" w:rsidRDefault="003E6617" w:rsidP="0014458C">
      <w:pPr>
        <w:pStyle w:val="Reporttext"/>
      </w:pPr>
      <w:r w:rsidRPr="00E31C82">
        <w:t>Updati</w:t>
      </w:r>
      <w:r w:rsidR="00C73BC5">
        <w:t>ng the original NPPF 2012, the r</w:t>
      </w:r>
      <w:r w:rsidRPr="00E31C82">
        <w:t>evised NPPF</w:t>
      </w:r>
      <w:r w:rsidR="00E31C82">
        <w:t xml:space="preserve"> 2018</w:t>
      </w:r>
      <w:r w:rsidRPr="00E31C82">
        <w:t xml:space="preserve"> sets out 17 topic-based chapters which reflect the Government’s development priorities. Chapter 5, </w:t>
      </w:r>
      <w:r w:rsidRPr="0014458C">
        <w:rPr>
          <w:i/>
        </w:rPr>
        <w:t>‘Delivering a sufficient supply of homes’</w:t>
      </w:r>
      <w:r w:rsidRPr="00E31C82">
        <w:t>, sets out the Government’s objective of significantly boosting the supply of homes including meeting the needs of groups with specific ho</w:t>
      </w:r>
      <w:r w:rsidR="002105F4" w:rsidRPr="00E31C82">
        <w:t>using requirements (paragraph 59</w:t>
      </w:r>
      <w:r w:rsidRPr="00E31C82">
        <w:t xml:space="preserve">). It states that in determining the minimum number of homes needed, strategic </w:t>
      </w:r>
      <w:r w:rsidR="002105F4" w:rsidRPr="00E31C82">
        <w:t>policies</w:t>
      </w:r>
      <w:r w:rsidRPr="00E31C82">
        <w:t xml:space="preserve"> should be </w:t>
      </w:r>
      <w:r w:rsidR="002105F4" w:rsidRPr="00E31C82">
        <w:t>informed by</w:t>
      </w:r>
      <w:r w:rsidRPr="00E31C82">
        <w:t xml:space="preserve"> a local housing need assessment. This should be conducted using the standard method</w:t>
      </w:r>
      <w:r w:rsidR="002105F4" w:rsidRPr="00E31C82">
        <w:t xml:space="preserve"> in national planning guidance,</w:t>
      </w:r>
      <w:r w:rsidRPr="00E31C82">
        <w:t xml:space="preserve"> unless exceptional circumstances </w:t>
      </w:r>
      <w:r w:rsidR="002105F4" w:rsidRPr="00E31C82">
        <w:t>justify an alternative approach (paragraph 60</w:t>
      </w:r>
      <w:r w:rsidRPr="00E31C82">
        <w:t>).</w:t>
      </w:r>
    </w:p>
    <w:p w14:paraId="0F274DCB" w14:textId="19C5A56B" w:rsidR="003E6617" w:rsidRPr="00E31C82" w:rsidRDefault="003E6617" w:rsidP="0014458C">
      <w:pPr>
        <w:pStyle w:val="Reporttext"/>
      </w:pPr>
      <w:r w:rsidRPr="00E31C82">
        <w:t>It</w:t>
      </w:r>
      <w:r w:rsidR="002105F4" w:rsidRPr="00E31C82">
        <w:t xml:space="preserve"> is then set out in paragraph 61</w:t>
      </w:r>
      <w:r w:rsidRPr="00E31C82">
        <w:t xml:space="preserve"> that:</w:t>
      </w:r>
    </w:p>
    <w:p w14:paraId="7D5407FF" w14:textId="30C00117" w:rsidR="003E6617" w:rsidRPr="003F1E2F" w:rsidRDefault="003E6617" w:rsidP="0014458C">
      <w:pPr>
        <w:pStyle w:val="Reporttext"/>
        <w:rPr>
          <w:i/>
        </w:rPr>
      </w:pPr>
      <w:r w:rsidRPr="003F1E2F">
        <w:rPr>
          <w:i/>
        </w:rPr>
        <w:t>‘Within this context,</w:t>
      </w:r>
      <w:r w:rsidR="002105F4" w:rsidRPr="003F1E2F">
        <w:rPr>
          <w:i/>
        </w:rPr>
        <w:t xml:space="preserve"> the size, type and tenure of housing needed for </w:t>
      </w:r>
      <w:r w:rsidRPr="003F1E2F">
        <w:rPr>
          <w:i/>
        </w:rPr>
        <w:t xml:space="preserve">different groups in the community </w:t>
      </w:r>
      <w:r w:rsidR="002105F4" w:rsidRPr="003F1E2F">
        <w:rPr>
          <w:i/>
        </w:rPr>
        <w:t xml:space="preserve">should be assessed and reflected in planning policies </w:t>
      </w:r>
      <w:r w:rsidRPr="003F1E2F">
        <w:rPr>
          <w:i/>
        </w:rPr>
        <w:t>(including, but not limited to, those who require affordable housing, families with children, older people, students, people with disabilities, service families, travellers, people who rent their homes and people wishing to commission or build their own homes.</w:t>
      </w:r>
      <w:r w:rsidR="00792F44" w:rsidRPr="003F1E2F">
        <w:rPr>
          <w:i/>
        </w:rPr>
        <w:t>’</w:t>
      </w:r>
    </w:p>
    <w:p w14:paraId="4EBBABBB" w14:textId="3729CAEA" w:rsidR="003E6617" w:rsidRPr="00B434F5" w:rsidRDefault="00792F44" w:rsidP="0014458C">
      <w:pPr>
        <w:pStyle w:val="Reporttext"/>
      </w:pPr>
      <w:r w:rsidRPr="00B434F5">
        <w:t xml:space="preserve">An additional footnote to the word </w:t>
      </w:r>
      <w:r w:rsidRPr="0014458C">
        <w:rPr>
          <w:i/>
        </w:rPr>
        <w:t>‘travellers’</w:t>
      </w:r>
      <w:r w:rsidRPr="00B434F5">
        <w:t xml:space="preserve"> </w:t>
      </w:r>
      <w:r w:rsidR="002105F4" w:rsidRPr="00B434F5">
        <w:t>states</w:t>
      </w:r>
      <w:r w:rsidRPr="00B434F5">
        <w:t>:</w:t>
      </w:r>
    </w:p>
    <w:p w14:paraId="595A431B" w14:textId="28A32EF7" w:rsidR="002105F4" w:rsidRPr="003F1E2F" w:rsidRDefault="002105F4" w:rsidP="0014458C">
      <w:pPr>
        <w:pStyle w:val="Reporttext"/>
        <w:rPr>
          <w:i/>
        </w:rPr>
      </w:pPr>
      <w:r w:rsidRPr="003F1E2F">
        <w:rPr>
          <w:i/>
        </w:rPr>
        <w:t>‘Planning Policy for Traveller Sites sets out how travellers’ housing needs should be assessed for those covered by the definition in Annex 1 of that document.’</w:t>
      </w:r>
    </w:p>
    <w:p w14:paraId="0C125A95" w14:textId="2027F068" w:rsidR="002105F4" w:rsidRPr="00B434F5" w:rsidRDefault="002105F4" w:rsidP="0014458C">
      <w:pPr>
        <w:pStyle w:val="Reporttext"/>
      </w:pPr>
      <w:r w:rsidRPr="00B434F5">
        <w:t>This com</w:t>
      </w:r>
      <w:r w:rsidR="00C73BC5">
        <w:t>pares with the footnote to the draft r</w:t>
      </w:r>
      <w:r w:rsidRPr="00B434F5">
        <w:t>evised NPPF (March 2018)</w:t>
      </w:r>
      <w:r w:rsidR="001E10CE" w:rsidRPr="00B434F5">
        <w:t>, which set out the following approach, it seemed to adopt a broader, ‘cultural’ definition:</w:t>
      </w:r>
    </w:p>
    <w:p w14:paraId="304C2AFB" w14:textId="729889C0" w:rsidR="00792F44" w:rsidRPr="00B434F5" w:rsidRDefault="00792F44" w:rsidP="0014458C">
      <w:pPr>
        <w:pStyle w:val="Reporttext"/>
      </w:pPr>
      <w:r w:rsidRPr="00B434F5">
        <w:t>‘Travellers who do not fall under the definition of “traveller” in Annex 1 of the Planning Policy for Traveller Sites. The latter sets out how travellers’ accommodation needs should be assessed for those covered by the definition in Annex 1 of that document.’</w:t>
      </w:r>
    </w:p>
    <w:p w14:paraId="5B045C88" w14:textId="77777777" w:rsidR="00560F3A" w:rsidRPr="0014458C" w:rsidRDefault="00560F3A" w:rsidP="003E6544">
      <w:pPr>
        <w:pStyle w:val="Reporttext"/>
        <w:numPr>
          <w:ilvl w:val="0"/>
          <w:numId w:val="0"/>
        </w:numPr>
        <w:ind w:left="709"/>
        <w:rPr>
          <w:highlight w:val="yellow"/>
        </w:rPr>
      </w:pPr>
    </w:p>
    <w:p w14:paraId="538D8B0C" w14:textId="3340D8DD" w:rsidR="00DA5813" w:rsidRPr="001E10CE" w:rsidRDefault="00A42DDC" w:rsidP="00DA5813">
      <w:pPr>
        <w:pStyle w:val="Heading2"/>
      </w:pPr>
      <w:bookmarkStart w:id="61" w:name="_Toc510091953"/>
      <w:bookmarkStart w:id="62" w:name="_Toc13845466"/>
      <w:r w:rsidRPr="001E10CE">
        <w:t>P</w:t>
      </w:r>
      <w:r w:rsidR="004A0500" w:rsidRPr="001E10CE">
        <w:t xml:space="preserve">lanning </w:t>
      </w:r>
      <w:r w:rsidRPr="001E10CE">
        <w:t xml:space="preserve">policy </w:t>
      </w:r>
      <w:r w:rsidR="00973790" w:rsidRPr="001E10CE">
        <w:t>context</w:t>
      </w:r>
      <w:r w:rsidRPr="001E10CE">
        <w:t xml:space="preserve"> and methodological implications</w:t>
      </w:r>
      <w:bookmarkEnd w:id="61"/>
      <w:bookmarkEnd w:id="62"/>
    </w:p>
    <w:p w14:paraId="1D0E6CE5" w14:textId="45A42DFA" w:rsidR="00842A38" w:rsidRPr="00E31C82" w:rsidRDefault="00E633CC" w:rsidP="0014458C">
      <w:pPr>
        <w:pStyle w:val="Reporttext"/>
      </w:pPr>
      <w:r w:rsidRPr="001E10CE">
        <w:t>F</w:t>
      </w:r>
      <w:r w:rsidR="00950F10" w:rsidRPr="001E10CE">
        <w:t xml:space="preserve">urther to the publication of updated PPTS in August 2015, </w:t>
      </w:r>
      <w:r w:rsidR="005666E8" w:rsidRPr="001E10CE">
        <w:t xml:space="preserve">the 2007 </w:t>
      </w:r>
      <w:r w:rsidRPr="001E10CE">
        <w:t xml:space="preserve">GTAA </w:t>
      </w:r>
      <w:r w:rsidR="005666E8" w:rsidRPr="001E10CE">
        <w:t xml:space="preserve">Guidance </w:t>
      </w:r>
      <w:r w:rsidR="00A42DDC" w:rsidRPr="001E10CE">
        <w:t>was</w:t>
      </w:r>
      <w:r w:rsidR="005666E8" w:rsidRPr="001E10CE">
        <w:t xml:space="preserve"> withdrawn </w:t>
      </w:r>
      <w:r w:rsidR="00A42DDC" w:rsidRPr="001E10CE">
        <w:t>and there was considerable</w:t>
      </w:r>
      <w:r w:rsidR="003E5E64" w:rsidRPr="001E10CE">
        <w:t xml:space="preserve"> confusion regarding wh</w:t>
      </w:r>
      <w:r w:rsidR="00BD29B1" w:rsidRPr="001E10CE">
        <w:t>at</w:t>
      </w:r>
      <w:r w:rsidR="00842A38" w:rsidRPr="001E10CE">
        <w:t xml:space="preserve"> accommodation needs should be a</w:t>
      </w:r>
      <w:r w:rsidR="00842A38" w:rsidRPr="00E31C82">
        <w:t>ssessed and the best methodological approach.</w:t>
      </w:r>
    </w:p>
    <w:p w14:paraId="784B2E01" w14:textId="6DCEB91F" w:rsidR="00FA3ECC" w:rsidRPr="00E31C82" w:rsidRDefault="00AD4051" w:rsidP="0014458C">
      <w:pPr>
        <w:pStyle w:val="Reporttext"/>
      </w:pPr>
      <w:r w:rsidRPr="00E31C82">
        <w:t>The</w:t>
      </w:r>
      <w:r w:rsidR="00E633CC" w:rsidRPr="00E31C82">
        <w:t xml:space="preserve"> Housing and Planning Act 2016 </w:t>
      </w:r>
      <w:r w:rsidRPr="00E31C82">
        <w:t xml:space="preserve">deleted Sections 225 and 226 of the Housing Act 2004, effectively removing some of local planning authorities’ duties in relation to the accommodation needs assessments of Gypsies and Travellers. However, the Housing and Planning Act inserted some additional requirements into Section 8 of the Housing Act 1985, including the duty to consider the provision of sites for caravans and moorings for houseboats </w:t>
      </w:r>
      <w:r w:rsidR="0081216B" w:rsidRPr="00E31C82">
        <w:t>when undertaking housing needs assessments</w:t>
      </w:r>
      <w:r w:rsidRPr="00E31C82">
        <w:t>.</w:t>
      </w:r>
      <w:r w:rsidR="00FA3ECC" w:rsidRPr="00E31C82">
        <w:t xml:space="preserve"> As referred to above, draft Guidance was published in March 2016 to explain the interpretation of these legislative changes. However, this remains in draft form at the present time.</w:t>
      </w:r>
    </w:p>
    <w:p w14:paraId="57E9AC0D" w14:textId="0C51F7DC" w:rsidR="00F436BD" w:rsidRPr="00E31C82" w:rsidRDefault="00E633CC" w:rsidP="0014458C">
      <w:pPr>
        <w:pStyle w:val="Reporttext"/>
      </w:pPr>
      <w:r w:rsidRPr="00E31C82">
        <w:t xml:space="preserve">As </w:t>
      </w:r>
      <w:r w:rsidR="00A42DDC" w:rsidRPr="00E31C82">
        <w:t>discussed</w:t>
      </w:r>
      <w:r w:rsidRPr="00E31C82">
        <w:t xml:space="preserve">, the PPTS 2015 definitions of ‘Gypsy and Traveller’ and ‘Travelling Showperson’ now exclude those that have stopped travelling on a permanent basis. </w:t>
      </w:r>
      <w:r w:rsidR="00F436BD" w:rsidRPr="00E31C82">
        <w:t xml:space="preserve">The ‘clarification’ in Annex 1 (paragraph 2) of PPTS 2015 refers to a </w:t>
      </w:r>
      <w:r w:rsidR="00F436BD" w:rsidRPr="0014458C">
        <w:rPr>
          <w:i/>
        </w:rPr>
        <w:t>‘nomadic habit of life’</w:t>
      </w:r>
      <w:r w:rsidR="00F436BD" w:rsidRPr="00E31C82">
        <w:t xml:space="preserve"> and whether the person in question previously led a nomadic habit of life; the reasons for ceasing their nomadic habit of life; and whether there is an intention of living a nomadic habit of life in the future, and if so, how soon and in what circumstances. This suggests that persons (or households) should be assessed on an individual basis, to determine whether they meet the PPTS 2015 planning definition. </w:t>
      </w:r>
    </w:p>
    <w:p w14:paraId="02CDCD8E" w14:textId="43355FFB" w:rsidR="00EC50B2" w:rsidRPr="00E31C82" w:rsidRDefault="007A6B45" w:rsidP="0014458C">
      <w:pPr>
        <w:pStyle w:val="Reporttext"/>
      </w:pPr>
      <w:r w:rsidRPr="00E31C82">
        <w:t>Some</w:t>
      </w:r>
      <w:r w:rsidR="00A42DDC" w:rsidRPr="00E31C82">
        <w:t xml:space="preserve"> people adopted the</w:t>
      </w:r>
      <w:r w:rsidR="00EC50B2" w:rsidRPr="00E31C82">
        <w:t xml:space="preserve"> view that the revised </w:t>
      </w:r>
      <w:r w:rsidR="00A42DDC" w:rsidRPr="00E31C82">
        <w:t xml:space="preserve">PPTS 2015 </w:t>
      </w:r>
      <w:r w:rsidR="00EC50B2" w:rsidRPr="00E31C82">
        <w:t>definition</w:t>
      </w:r>
      <w:r w:rsidR="009D326C" w:rsidRPr="00E31C82">
        <w:t>s (excluding Gypsies, Travellers and Travelling Showpeople who have ceased travelling)</w:t>
      </w:r>
      <w:r w:rsidR="00EC50B2" w:rsidRPr="00E31C82">
        <w:t xml:space="preserve"> </w:t>
      </w:r>
      <w:r w:rsidR="00A42DDC" w:rsidRPr="00E31C82">
        <w:t>allow</w:t>
      </w:r>
      <w:r w:rsidR="00EC50B2" w:rsidRPr="00E31C82">
        <w:t xml:space="preserve"> local planning authorities to manage their needs numbers downwards</w:t>
      </w:r>
      <w:r w:rsidR="00A42DDC" w:rsidRPr="00E31C82">
        <w:t xml:space="preserve">. This approach </w:t>
      </w:r>
      <w:r w:rsidRPr="00E31C82">
        <w:t>has always been</w:t>
      </w:r>
      <w:r w:rsidR="00A42DDC" w:rsidRPr="00E31C82">
        <w:t xml:space="preserve"> </w:t>
      </w:r>
      <w:r w:rsidR="00A74F01" w:rsidRPr="00E31C82">
        <w:t>treated</w:t>
      </w:r>
      <w:r w:rsidR="00EC50B2" w:rsidRPr="00E31C82">
        <w:t xml:space="preserve"> with caution</w:t>
      </w:r>
      <w:r w:rsidR="00A42DDC" w:rsidRPr="00E31C82">
        <w:t xml:space="preserve"> by arc</w:t>
      </w:r>
      <w:r w:rsidR="00A42DDC" w:rsidRPr="0014458C">
        <w:rPr>
          <w:vertAlign w:val="superscript"/>
        </w:rPr>
        <w:t>4</w:t>
      </w:r>
      <w:r w:rsidR="00EC50B2" w:rsidRPr="00E31C82">
        <w:t xml:space="preserve">, </w:t>
      </w:r>
      <w:r w:rsidR="00A42DDC" w:rsidRPr="00E31C82">
        <w:t>however, and our GTAA studies</w:t>
      </w:r>
      <w:r w:rsidRPr="00E31C82">
        <w:t xml:space="preserve"> have</w:t>
      </w:r>
      <w:r w:rsidR="00A42DDC" w:rsidRPr="00E31C82">
        <w:t xml:space="preserve"> instead adopted an approach which includes a consideration of PPTS-defined need (pitch numbers to meet the needs of those who travel) and a wider ‘cultural’ definition of need (pitches to meet the needs of all Gypsies, Travellers and Travelling Showpeople</w:t>
      </w:r>
      <w:r w:rsidRPr="00E31C82">
        <w:t xml:space="preserve"> who are identifiable with</w:t>
      </w:r>
      <w:r w:rsidR="00A42DDC" w:rsidRPr="00E31C82">
        <w:t>in the</w:t>
      </w:r>
      <w:r w:rsidRPr="00E31C82">
        <w:t xml:space="preserve"> relevant</w:t>
      </w:r>
      <w:r w:rsidR="00A42DDC" w:rsidRPr="00E31C82">
        <w:t xml:space="preserve"> </w:t>
      </w:r>
      <w:r w:rsidRPr="00E31C82">
        <w:t>study area).</w:t>
      </w:r>
    </w:p>
    <w:p w14:paraId="63AE599B" w14:textId="4746831F" w:rsidR="008E5870" w:rsidRPr="00E31C82" w:rsidRDefault="00A35DFD" w:rsidP="0014458C">
      <w:pPr>
        <w:pStyle w:val="Reporttext"/>
      </w:pPr>
      <w:r w:rsidRPr="00E31C82">
        <w:t xml:space="preserve">The accommodation needs of the Travelling community forms a strategic issue, which is a consideration under the Duty to Cooperate. </w:t>
      </w:r>
      <w:r w:rsidR="003D0329" w:rsidRPr="00E31C82">
        <w:t xml:space="preserve">It is therefore considered important that the </w:t>
      </w:r>
      <w:r w:rsidR="00EE6DA0">
        <w:t>West Berkshire</w:t>
      </w:r>
      <w:r w:rsidR="00991985" w:rsidRPr="00E31C82">
        <w:t xml:space="preserve"> </w:t>
      </w:r>
      <w:r w:rsidR="003D0329" w:rsidRPr="00E31C82">
        <w:t xml:space="preserve">GTAA </w:t>
      </w:r>
      <w:r w:rsidR="00AF21FD">
        <w:t>2019</w:t>
      </w:r>
      <w:r w:rsidR="003D0329" w:rsidRPr="00E31C82">
        <w:t xml:space="preserve"> provides a robust and transparent approach </w:t>
      </w:r>
      <w:r w:rsidRPr="00E31C82">
        <w:t xml:space="preserve">regarding </w:t>
      </w:r>
      <w:r w:rsidR="003D0329" w:rsidRPr="00E31C82">
        <w:t xml:space="preserve">the </w:t>
      </w:r>
      <w:r w:rsidR="00284F90" w:rsidRPr="00E31C82">
        <w:t>methodology for determining which membe</w:t>
      </w:r>
      <w:r w:rsidR="00865D1B" w:rsidRPr="00E31C82">
        <w:t xml:space="preserve">rs of the Travelling community </w:t>
      </w:r>
      <w:r w:rsidR="00950F10" w:rsidRPr="00E31C82">
        <w:t xml:space="preserve">are ‘travelling’ </w:t>
      </w:r>
      <w:r w:rsidR="00865D1B" w:rsidRPr="00E31C82">
        <w:t xml:space="preserve">and which members </w:t>
      </w:r>
      <w:r w:rsidR="00950F10" w:rsidRPr="00E31C82">
        <w:t>should be considered ‘non-travelling’</w:t>
      </w:r>
      <w:r w:rsidR="003D0329" w:rsidRPr="00E31C82">
        <w:t xml:space="preserve"> as well as the subsequent assessment of current and future needs</w:t>
      </w:r>
      <w:r w:rsidR="00865D1B" w:rsidRPr="00E31C82">
        <w:t>.</w:t>
      </w:r>
    </w:p>
    <w:p w14:paraId="1E3A05F5" w14:textId="08AEA224" w:rsidR="007525B2" w:rsidRPr="0051006C" w:rsidRDefault="007A6B45" w:rsidP="0014458C">
      <w:pPr>
        <w:pStyle w:val="Reporttext"/>
      </w:pPr>
      <w:r w:rsidRPr="0051006C">
        <w:t>Our assessment methodology is set out in Chapter 3 and the</w:t>
      </w:r>
      <w:r w:rsidR="003D0329" w:rsidRPr="0051006C">
        <w:t xml:space="preserve"> </w:t>
      </w:r>
      <w:r w:rsidR="00991985" w:rsidRPr="0051006C">
        <w:t xml:space="preserve">outworking of this approach for </w:t>
      </w:r>
      <w:r w:rsidR="00EE6DA0" w:rsidRPr="0051006C">
        <w:t>West Berkshire</w:t>
      </w:r>
      <w:r w:rsidR="00B24848" w:rsidRPr="0051006C">
        <w:t xml:space="preserve"> </w:t>
      </w:r>
      <w:r w:rsidR="00473EAA" w:rsidRPr="0051006C">
        <w:t>District</w:t>
      </w:r>
      <w:r w:rsidR="00991985" w:rsidRPr="0051006C">
        <w:t xml:space="preserve"> </w:t>
      </w:r>
      <w:r w:rsidR="009C1C62" w:rsidRPr="0051006C">
        <w:t>is set out in Chapter 5</w:t>
      </w:r>
      <w:r w:rsidR="003D0329" w:rsidRPr="0051006C">
        <w:t>.</w:t>
      </w:r>
    </w:p>
    <w:p w14:paraId="33035C00" w14:textId="4E80DA1D" w:rsidR="007525B2" w:rsidRPr="00D93A05" w:rsidRDefault="007525B2" w:rsidP="007525B2">
      <w:pPr>
        <w:pStyle w:val="Heading2"/>
        <w:rPr>
          <w:rFonts w:cs="Arial"/>
          <w:color w:val="222222"/>
        </w:rPr>
      </w:pPr>
      <w:bookmarkStart w:id="63" w:name="_Toc510091954"/>
      <w:bookmarkStart w:id="64" w:name="_Toc13845467"/>
      <w:bookmarkStart w:id="65" w:name="_Toc459646227"/>
      <w:bookmarkStart w:id="66" w:name="_Toc477256928"/>
      <w:bookmarkStart w:id="67" w:name="_Toc485383228"/>
      <w:r w:rsidRPr="00D93A05">
        <w:t xml:space="preserve">Strategic </w:t>
      </w:r>
      <w:r w:rsidR="00C45B45" w:rsidRPr="00D93A05">
        <w:t>context</w:t>
      </w:r>
      <w:bookmarkEnd w:id="63"/>
      <w:bookmarkEnd w:id="64"/>
      <w:r w:rsidR="00C45B45" w:rsidRPr="00D93A05">
        <w:t xml:space="preserve"> </w:t>
      </w:r>
      <w:bookmarkEnd w:id="65"/>
      <w:bookmarkEnd w:id="66"/>
      <w:bookmarkEnd w:id="67"/>
    </w:p>
    <w:p w14:paraId="22ED373B" w14:textId="147E3DFD" w:rsidR="007525B2" w:rsidRPr="00E31C82" w:rsidRDefault="007525B2" w:rsidP="0014458C">
      <w:pPr>
        <w:pStyle w:val="Reporttext"/>
      </w:pPr>
      <w:r w:rsidRPr="00D93A05">
        <w:t xml:space="preserve">Despite the revocation of regional spatial strategies, the need for strategic planning remains, especially to ensure </w:t>
      </w:r>
      <w:r w:rsidRPr="00E31C82">
        <w:t xml:space="preserve">coherent planning beyond local authority boundaries. To this end the Localism Act 2011 and the </w:t>
      </w:r>
      <w:r w:rsidRPr="0014458C">
        <w:rPr>
          <w:bCs/>
        </w:rPr>
        <w:t>National Planning Policy Framework (NPPF</w:t>
      </w:r>
      <w:r w:rsidR="00E31C82" w:rsidRPr="0014458C">
        <w:rPr>
          <w:bCs/>
        </w:rPr>
        <w:t xml:space="preserve"> 2018</w:t>
      </w:r>
      <w:r w:rsidRPr="0014458C">
        <w:rPr>
          <w:bCs/>
        </w:rPr>
        <w:t>) set</w:t>
      </w:r>
      <w:r w:rsidR="00D93A05" w:rsidRPr="0014458C">
        <w:rPr>
          <w:bCs/>
        </w:rPr>
        <w:t>s</w:t>
      </w:r>
      <w:r w:rsidRPr="0014458C">
        <w:rPr>
          <w:bCs/>
        </w:rPr>
        <w:t xml:space="preserve"> out that public bodies have a duty to cooperate on planning issues that cross administrative boundaries </w:t>
      </w:r>
      <w:r w:rsidR="00E31C82" w:rsidRPr="0014458C">
        <w:rPr>
          <w:bCs/>
        </w:rPr>
        <w:t>(paragraphs 24-27</w:t>
      </w:r>
      <w:r w:rsidR="007A6B45" w:rsidRPr="0014458C">
        <w:rPr>
          <w:bCs/>
        </w:rPr>
        <w:t>)</w:t>
      </w:r>
      <w:r w:rsidRPr="0014458C">
        <w:rPr>
          <w:bCs/>
        </w:rPr>
        <w:t xml:space="preserve">. </w:t>
      </w:r>
    </w:p>
    <w:p w14:paraId="016C9400" w14:textId="4ED0C02B" w:rsidR="007525B2" w:rsidRPr="00DC16C1" w:rsidRDefault="007525B2" w:rsidP="0014458C">
      <w:pPr>
        <w:pStyle w:val="Reporttext"/>
      </w:pPr>
      <w:r w:rsidRPr="00E31C82">
        <w:t>Nation</w:t>
      </w:r>
      <w:r w:rsidR="00E31C82">
        <w:t>al planning practice guidance (</w:t>
      </w:r>
      <w:r w:rsidRPr="00E31C82">
        <w:t xml:space="preserve">PPG) includes a guidance document specific to the </w:t>
      </w:r>
      <w:r w:rsidRPr="0014458C">
        <w:rPr>
          <w:i/>
        </w:rPr>
        <w:t>Duty to cooperate</w:t>
      </w:r>
      <w:r w:rsidRPr="00E31C82">
        <w:t xml:space="preserve"> (March 2014). This states that duty to cooperate is not a duty to agree, but local planning authorities should</w:t>
      </w:r>
      <w:r w:rsidRPr="00DC16C1">
        <w:t xml:space="preserve"> make every effort to secure the necessary cooperation on strategic cross boundary matters before they submit their Local Plans for examination (paragraph 1). In addition, it states that the duty to cooperate seeks to ensure that local planning authorities lead strategic planning effectively through their Local Plans, addressing social, environmental and economic issues that can only be addressed effectively by working with other local planning authorities beyond their own administrative boundaries (paragraph 8).</w:t>
      </w:r>
    </w:p>
    <w:p w14:paraId="3D767501" w14:textId="77777777" w:rsidR="007525B2" w:rsidRPr="00DC16C1" w:rsidRDefault="007525B2" w:rsidP="0014458C">
      <w:pPr>
        <w:pStyle w:val="Reporttext"/>
      </w:pPr>
      <w:r w:rsidRPr="00DC16C1">
        <w:t>PPTS 2015 sets out that the preparation of Local Plans and setting of pitch and plot targets should be undertaken by local planning authorities working collaboratively with neighbouring planning authorities (paragraphs 8 and 9). It reiterates that local planning authorities have a duty to cooperate on planning issues that cross administrative boundaries (paragraph 10).</w:t>
      </w:r>
    </w:p>
    <w:p w14:paraId="5CFFD2BC" w14:textId="77777777" w:rsidR="007525B2" w:rsidRDefault="007525B2" w:rsidP="00C61A77"/>
    <w:p w14:paraId="3C9F7F0E" w14:textId="3F1E1E16" w:rsidR="007D7B5C" w:rsidRPr="00214334" w:rsidRDefault="007D7B5C" w:rsidP="007D7B5C">
      <w:pPr>
        <w:pStyle w:val="Heading2"/>
      </w:pPr>
      <w:bookmarkStart w:id="68" w:name="_Toc510091955"/>
      <w:bookmarkStart w:id="69" w:name="_Toc13845468"/>
      <w:r w:rsidRPr="00214334">
        <w:t>Local context</w:t>
      </w:r>
      <w:bookmarkEnd w:id="68"/>
      <w:bookmarkEnd w:id="69"/>
    </w:p>
    <w:p w14:paraId="28CF6470" w14:textId="63475550" w:rsidR="00214334" w:rsidRPr="0014458C" w:rsidRDefault="00EE6DA0" w:rsidP="0014458C">
      <w:pPr>
        <w:pStyle w:val="Reporttext"/>
        <w:rPr>
          <w:color w:val="000000" w:themeColor="text1"/>
        </w:rPr>
      </w:pPr>
      <w:r w:rsidRPr="00214334">
        <w:t>West Berkshire</w:t>
      </w:r>
      <w:r w:rsidR="009C1C62" w:rsidRPr="00214334">
        <w:t xml:space="preserve"> Council</w:t>
      </w:r>
      <w:r w:rsidR="00B95B94" w:rsidRPr="00214334">
        <w:t xml:space="preserve"> </w:t>
      </w:r>
      <w:r w:rsidR="0066485D" w:rsidRPr="00214334">
        <w:t>adopted</w:t>
      </w:r>
      <w:r w:rsidR="00655F73" w:rsidRPr="00214334">
        <w:t xml:space="preserve"> </w:t>
      </w:r>
      <w:r w:rsidR="0066485D" w:rsidRPr="00214334">
        <w:t xml:space="preserve">a Core Strategy </w:t>
      </w:r>
      <w:r w:rsidR="00A71BDC" w:rsidRPr="00214334">
        <w:t>Development Plan Document in July 2012, covering the period 2006 to 2026.</w:t>
      </w:r>
      <w:r w:rsidR="00214334" w:rsidRPr="00214334">
        <w:t xml:space="preserve"> A Housing Site Allocations Development Plan Document was adopted in May 2017. Some policies from the West Berkshire District Local Plan 2007 are also saved and form part of the development plan for the area up to 2026. </w:t>
      </w:r>
    </w:p>
    <w:p w14:paraId="46EF762B" w14:textId="5E9ECA13" w:rsidR="0066485D" w:rsidRPr="00214334" w:rsidRDefault="00EE6DA0" w:rsidP="0014458C">
      <w:pPr>
        <w:pStyle w:val="Reporttext"/>
      </w:pPr>
      <w:r w:rsidRPr="00214334">
        <w:t>West Berkshire</w:t>
      </w:r>
      <w:r w:rsidR="009C1C62" w:rsidRPr="00214334">
        <w:t xml:space="preserve"> Council</w:t>
      </w:r>
      <w:r w:rsidR="009274EC" w:rsidRPr="00214334">
        <w:t xml:space="preserve"> is now working on the preparation of a new Local Plan with a Plan Period of up to 2036. </w:t>
      </w:r>
      <w:r w:rsidR="00214334" w:rsidRPr="00214334">
        <w:t>The review will includ</w:t>
      </w:r>
      <w:r w:rsidR="00F33846">
        <w:t xml:space="preserve">e </w:t>
      </w:r>
      <w:r w:rsidR="00214334" w:rsidRPr="00214334">
        <w:t>future levels of need for new homes, employment and other land uses up to 2036</w:t>
      </w:r>
      <w:r w:rsidR="009274EC" w:rsidRPr="00214334">
        <w:t>.</w:t>
      </w:r>
      <w:r w:rsidR="00214334" w:rsidRPr="00214334">
        <w:t xml:space="preserve"> </w:t>
      </w:r>
      <w:r w:rsidR="00747925">
        <w:t>Public consultation on the Scoping Report was undertaken from January to March 2018, and from November to December 2018</w:t>
      </w:r>
      <w:r w:rsidR="004A6563">
        <w:t>.</w:t>
      </w:r>
    </w:p>
    <w:p w14:paraId="20DEFD37" w14:textId="04B74E18" w:rsidR="00634CDE" w:rsidRPr="0014458C" w:rsidRDefault="00634CDE" w:rsidP="0014458C">
      <w:pPr>
        <w:pStyle w:val="Reporttext"/>
        <w:rPr>
          <w:color w:val="000000" w:themeColor="text1"/>
        </w:rPr>
      </w:pPr>
      <w:r w:rsidRPr="00214334">
        <w:t>This GTAA has been prepared by arc</w:t>
      </w:r>
      <w:r w:rsidRPr="0014458C">
        <w:rPr>
          <w:vertAlign w:val="superscript"/>
        </w:rPr>
        <w:t>4</w:t>
      </w:r>
      <w:r w:rsidRPr="00214334">
        <w:t xml:space="preserve"> to help inform</w:t>
      </w:r>
      <w:r w:rsidR="005B04DE" w:rsidRPr="00214334">
        <w:t xml:space="preserve"> </w:t>
      </w:r>
      <w:r w:rsidR="00F41CD9" w:rsidRPr="00214334">
        <w:t xml:space="preserve">future </w:t>
      </w:r>
      <w:r w:rsidR="005B04DE" w:rsidRPr="00214334">
        <w:t>planning and housing</w:t>
      </w:r>
      <w:r w:rsidRPr="00214334">
        <w:t xml:space="preserve"> </w:t>
      </w:r>
      <w:r w:rsidR="005B04DE" w:rsidRPr="00214334">
        <w:t>policy</w:t>
      </w:r>
      <w:r w:rsidRPr="00214334">
        <w:t xml:space="preserve"> decisions relating to Traveller issues</w:t>
      </w:r>
      <w:r w:rsidR="00394D5C" w:rsidRPr="00214334">
        <w:t xml:space="preserve"> </w:t>
      </w:r>
      <w:r w:rsidR="009274EC" w:rsidRPr="00214334">
        <w:t>for the period up to 2036</w:t>
      </w:r>
      <w:r w:rsidR="00394D5C" w:rsidRPr="00214334">
        <w:t>.</w:t>
      </w:r>
    </w:p>
    <w:p w14:paraId="5D445681" w14:textId="77777777" w:rsidR="007525B2" w:rsidRDefault="007525B2" w:rsidP="0014458C">
      <w:pPr>
        <w:pStyle w:val="Heading1"/>
      </w:pPr>
      <w:r>
        <w:br w:type="page"/>
      </w:r>
      <w:bookmarkStart w:id="70" w:name="_Toc417995947"/>
      <w:bookmarkStart w:id="71" w:name="_Toc457575039"/>
      <w:bookmarkStart w:id="72" w:name="_Toc459646228"/>
      <w:bookmarkStart w:id="73" w:name="_Toc477256929"/>
      <w:bookmarkStart w:id="74" w:name="_Toc485383229"/>
      <w:bookmarkStart w:id="75" w:name="_Toc510091956"/>
      <w:bookmarkStart w:id="76" w:name="_Toc13845469"/>
      <w:r w:rsidRPr="009A0A59">
        <w:t>Methodology</w:t>
      </w:r>
      <w:bookmarkEnd w:id="70"/>
      <w:bookmarkEnd w:id="71"/>
      <w:bookmarkEnd w:id="72"/>
      <w:bookmarkEnd w:id="73"/>
      <w:bookmarkEnd w:id="74"/>
      <w:bookmarkEnd w:id="75"/>
      <w:bookmarkEnd w:id="76"/>
    </w:p>
    <w:p w14:paraId="3DB22210" w14:textId="3C1D46F9" w:rsidR="00062251" w:rsidRDefault="00EB1632" w:rsidP="0014458C">
      <w:pPr>
        <w:pStyle w:val="Reporttext"/>
      </w:pPr>
      <w:r>
        <w:t xml:space="preserve">In order to </w:t>
      </w:r>
      <w:r w:rsidR="00757519">
        <w:t>achieve</w:t>
      </w:r>
      <w:r>
        <w:t xml:space="preserve"> a clear </w:t>
      </w:r>
      <w:r w:rsidR="00757519">
        <w:t>and transparent evidence base and deliver the objectives of the study, the following methodology was developed based on the requirements of current Government policy</w:t>
      </w:r>
      <w:r w:rsidR="00757519">
        <w:rPr>
          <w:rStyle w:val="FootnoteReference"/>
        </w:rPr>
        <w:footnoteReference w:id="15"/>
      </w:r>
      <w:r w:rsidR="00757519">
        <w:t xml:space="preserve"> and following an established and approved approach</w:t>
      </w:r>
      <w:r w:rsidR="00757519">
        <w:rPr>
          <w:rStyle w:val="FootnoteReference"/>
        </w:rPr>
        <w:footnoteReference w:id="16"/>
      </w:r>
      <w:r w:rsidR="00757519">
        <w:t>.</w:t>
      </w:r>
    </w:p>
    <w:p w14:paraId="73B70813" w14:textId="5B37C9F4" w:rsidR="00757519" w:rsidRDefault="004647DF" w:rsidP="0014458C">
      <w:pPr>
        <w:pStyle w:val="Reporttext"/>
      </w:pPr>
      <w:r>
        <w:t>Fundamental to the methodological approach adopted by arc</w:t>
      </w:r>
      <w:r w:rsidRPr="0014458C">
        <w:rPr>
          <w:vertAlign w:val="superscript"/>
        </w:rPr>
        <w:t>4</w:t>
      </w:r>
      <w:r>
        <w:t xml:space="preserve"> is the priority of </w:t>
      </w:r>
      <w:r w:rsidR="002162A1">
        <w:t>collecting up-to-date primary data to inform all aspects of the research base. In particular in relation to GTAA surveys, this includes meaningful engagement with members of the local Gypsy and Traveller and Travelling Showpeople community. Through our links with Traveller representatives and the sensitive approach of our experienced field</w:t>
      </w:r>
      <w:r w:rsidR="00C61A77">
        <w:t xml:space="preserve"> </w:t>
      </w:r>
      <w:r w:rsidR="002162A1">
        <w:t xml:space="preserve">team, we have a track-record of obtaining a high degree of participation from local households living on pitches and plots within the </w:t>
      </w:r>
      <w:r w:rsidR="00F618AA">
        <w:t>relevant study area</w:t>
      </w:r>
      <w:r w:rsidR="002162A1">
        <w:t>.</w:t>
      </w:r>
    </w:p>
    <w:p w14:paraId="21B77565" w14:textId="66F116AE" w:rsidR="007525B2" w:rsidRDefault="00F03B23" w:rsidP="0014458C">
      <w:pPr>
        <w:pStyle w:val="Reporttext"/>
      </w:pPr>
      <w:r>
        <w:t xml:space="preserve">The </w:t>
      </w:r>
      <w:r w:rsidR="007525B2">
        <w:t>methodology for this study has</w:t>
      </w:r>
      <w:r w:rsidR="00F618AA">
        <w:t xml:space="preserve"> therefore</w:t>
      </w:r>
      <w:r w:rsidR="007525B2">
        <w:t xml:space="preserve"> comprised:</w:t>
      </w:r>
    </w:p>
    <w:p w14:paraId="161F7810" w14:textId="73DE06A7" w:rsidR="007525B2" w:rsidRPr="009C1C62" w:rsidRDefault="007525B2" w:rsidP="007525B2">
      <w:pPr>
        <w:numPr>
          <w:ilvl w:val="0"/>
          <w:numId w:val="9"/>
        </w:numPr>
        <w:ind w:left="1080"/>
      </w:pPr>
      <w:r w:rsidRPr="009C1C62">
        <w:t>Desktop analysis of existing documents, i</w:t>
      </w:r>
      <w:r w:rsidR="00B434F5" w:rsidRPr="009C1C62">
        <w:t xml:space="preserve">ncluding data on pitches/sites </w:t>
      </w:r>
      <w:r w:rsidRPr="009C1C62">
        <w:t xml:space="preserve">and unauthorised encampments; </w:t>
      </w:r>
    </w:p>
    <w:p w14:paraId="71218349" w14:textId="6F72193C" w:rsidR="00B434F5" w:rsidRPr="0051006C" w:rsidRDefault="00B434F5" w:rsidP="007525B2">
      <w:pPr>
        <w:numPr>
          <w:ilvl w:val="0"/>
          <w:numId w:val="9"/>
        </w:numPr>
        <w:ind w:left="1080"/>
      </w:pPr>
      <w:r w:rsidRPr="0051006C">
        <w:t xml:space="preserve">Site observation of all </w:t>
      </w:r>
      <w:r w:rsidR="00C73BC5" w:rsidRPr="0051006C">
        <w:t xml:space="preserve">sites across </w:t>
      </w:r>
      <w:r w:rsidR="00EE6DA0" w:rsidRPr="0051006C">
        <w:t>West Berkshire</w:t>
      </w:r>
      <w:r w:rsidR="00C73BC5" w:rsidRPr="0051006C">
        <w:t xml:space="preserve"> District; and</w:t>
      </w:r>
    </w:p>
    <w:p w14:paraId="183B3CEC" w14:textId="79E58F73" w:rsidR="00AF21FD" w:rsidRDefault="009C1C62" w:rsidP="009C1C62">
      <w:pPr>
        <w:numPr>
          <w:ilvl w:val="0"/>
          <w:numId w:val="9"/>
        </w:numPr>
        <w:ind w:left="1080"/>
      </w:pPr>
      <w:r w:rsidRPr="0051006C">
        <w:t xml:space="preserve">The collection of </w:t>
      </w:r>
      <w:r w:rsidR="00C73BC5" w:rsidRPr="0051006C">
        <w:t>household</w:t>
      </w:r>
      <w:r w:rsidRPr="0051006C">
        <w:t xml:space="preserve"> data </w:t>
      </w:r>
      <w:r w:rsidR="0051006C" w:rsidRPr="0051006C">
        <w:t>through a household survey and assembly of data on site occupancy</w:t>
      </w:r>
      <w:r w:rsidR="00AF21FD">
        <w:t xml:space="preserve"> using planning application data</w:t>
      </w:r>
      <w:r w:rsidR="0051006C" w:rsidRPr="0051006C">
        <w:t xml:space="preserve">. </w:t>
      </w:r>
      <w:r w:rsidR="00AF21FD">
        <w:t xml:space="preserve">Overall, 25 household interviews were achieved (against a target of 36); in </w:t>
      </w:r>
      <w:r w:rsidR="00B665FB">
        <w:t>addition,</w:t>
      </w:r>
      <w:r w:rsidR="00AF21FD">
        <w:t xml:space="preserve"> details of 4 households currently in bricks and mortar housing wanting to move back to the Council</w:t>
      </w:r>
      <w:r w:rsidR="004A6563">
        <w:t>s’</w:t>
      </w:r>
      <w:r w:rsidR="00AF21FD">
        <w:t xml:space="preserve"> site at Four Houses Corner were obtained; and details of 4 households living on unauthorised pitches were obtained from planning data. </w:t>
      </w:r>
    </w:p>
    <w:p w14:paraId="34956CA3" w14:textId="2BF57B7F" w:rsidR="00534A21" w:rsidRPr="0051006C" w:rsidRDefault="00534A21" w:rsidP="007525B2">
      <w:pPr>
        <w:numPr>
          <w:ilvl w:val="0"/>
          <w:numId w:val="9"/>
        </w:numPr>
        <w:ind w:left="1080"/>
      </w:pPr>
      <w:r w:rsidRPr="0051006C">
        <w:t>An assessment of accommodation needs taking into account all available data and information.</w:t>
      </w:r>
    </w:p>
    <w:p w14:paraId="45321074" w14:textId="77777777" w:rsidR="007525B2" w:rsidRPr="0051006C" w:rsidRDefault="007525B2" w:rsidP="0014458C">
      <w:pPr>
        <w:pStyle w:val="Reporttext"/>
      </w:pPr>
      <w:r w:rsidRPr="0051006C">
        <w:t>The information gathering has been carried out in three phases, as outlined below:</w:t>
      </w:r>
    </w:p>
    <w:p w14:paraId="2CAE18CB" w14:textId="77777777" w:rsidR="007525B2" w:rsidRPr="0051006C" w:rsidRDefault="007525B2" w:rsidP="007525B2">
      <w:pPr>
        <w:numPr>
          <w:ilvl w:val="0"/>
          <w:numId w:val="9"/>
        </w:numPr>
      </w:pPr>
      <w:r w:rsidRPr="0051006C">
        <w:t>Phase 1: Literature/desktop review and steering group discussions;</w:t>
      </w:r>
    </w:p>
    <w:p w14:paraId="3CB403A8" w14:textId="62CAD56A" w:rsidR="00534A21" w:rsidRPr="0051006C" w:rsidRDefault="00534A21" w:rsidP="009C1C62">
      <w:pPr>
        <w:numPr>
          <w:ilvl w:val="0"/>
          <w:numId w:val="9"/>
        </w:numPr>
      </w:pPr>
      <w:r w:rsidRPr="0051006C">
        <w:t xml:space="preserve">Phase 2: </w:t>
      </w:r>
      <w:r w:rsidR="009C1C62" w:rsidRPr="0051006C">
        <w:t xml:space="preserve">Site observation, surveys of households and information on demographics; </w:t>
      </w:r>
      <w:r w:rsidRPr="0051006C">
        <w:t>and</w:t>
      </w:r>
    </w:p>
    <w:p w14:paraId="69A1FF40" w14:textId="1465B9E0" w:rsidR="007525B2" w:rsidRPr="0051006C" w:rsidRDefault="009C1C62" w:rsidP="007525B2">
      <w:pPr>
        <w:numPr>
          <w:ilvl w:val="0"/>
          <w:numId w:val="9"/>
        </w:numPr>
      </w:pPr>
      <w:r w:rsidRPr="0051006C">
        <w:t>Phase 3</w:t>
      </w:r>
      <w:r w:rsidR="00534A21" w:rsidRPr="0051006C">
        <w:t>: Needs assessment and production of the GTAA</w:t>
      </w:r>
      <w:r w:rsidR="005B28FC" w:rsidRPr="0051006C">
        <w:t xml:space="preserve"> </w:t>
      </w:r>
      <w:r w:rsidR="001A1A0F" w:rsidRPr="0051006C">
        <w:t>201</w:t>
      </w:r>
      <w:r w:rsidR="00AF21FD">
        <w:t>9</w:t>
      </w:r>
      <w:r w:rsidR="00534A21" w:rsidRPr="0051006C">
        <w:t xml:space="preserve"> report</w:t>
      </w:r>
      <w:r w:rsidR="007525B2" w:rsidRPr="0051006C">
        <w:t>.</w:t>
      </w:r>
    </w:p>
    <w:p w14:paraId="06CA222E" w14:textId="77777777" w:rsidR="007525B2" w:rsidRDefault="007525B2" w:rsidP="007525B2"/>
    <w:p w14:paraId="138DEFB8" w14:textId="31D5D3DC" w:rsidR="007525B2" w:rsidRDefault="007525B2" w:rsidP="007525B2">
      <w:pPr>
        <w:pStyle w:val="Heading2"/>
        <w:ind w:left="709" w:firstLine="0"/>
      </w:pPr>
      <w:bookmarkStart w:id="77" w:name="_Toc417995948"/>
      <w:bookmarkStart w:id="78" w:name="_Toc397431605"/>
      <w:bookmarkStart w:id="79" w:name="_Toc377120798"/>
      <w:bookmarkStart w:id="80" w:name="_Toc457575040"/>
      <w:bookmarkStart w:id="81" w:name="_Toc459646229"/>
      <w:bookmarkStart w:id="82" w:name="_Toc510091957"/>
      <w:bookmarkStart w:id="83" w:name="_Toc13845470"/>
      <w:bookmarkStart w:id="84" w:name="_Toc477256930"/>
      <w:bookmarkStart w:id="85" w:name="_Toc485383230"/>
      <w:r>
        <w:t xml:space="preserve">Phase 1: </w:t>
      </w:r>
      <w:r w:rsidRPr="00B76BED">
        <w:t>Literature/desktop review</w:t>
      </w:r>
      <w:bookmarkEnd w:id="77"/>
      <w:bookmarkEnd w:id="78"/>
      <w:bookmarkEnd w:id="79"/>
      <w:bookmarkEnd w:id="80"/>
      <w:r w:rsidR="00534A21">
        <w:t xml:space="preserve"> and</w:t>
      </w:r>
      <w:r w:rsidRPr="00B76BED">
        <w:t xml:space="preserve"> steering group discussions</w:t>
      </w:r>
      <w:bookmarkEnd w:id="81"/>
      <w:bookmarkEnd w:id="82"/>
      <w:bookmarkEnd w:id="83"/>
      <w:r w:rsidRPr="00B76BED">
        <w:t xml:space="preserve"> </w:t>
      </w:r>
      <w:bookmarkEnd w:id="84"/>
      <w:bookmarkEnd w:id="85"/>
    </w:p>
    <w:p w14:paraId="47321161" w14:textId="56315D86" w:rsidR="007525B2" w:rsidRDefault="007525B2" w:rsidP="0014458C">
      <w:pPr>
        <w:pStyle w:val="Reporttext"/>
      </w:pPr>
      <w:r>
        <w:t>This phase comprised a review of available literature, including legislative background and best practice information; and analysis of available secondary data relating to Gypsies and Travellers</w:t>
      </w:r>
      <w:r w:rsidR="00425DA9">
        <w:t xml:space="preserve"> in </w:t>
      </w:r>
      <w:r w:rsidR="00EE6DA0">
        <w:t>West Berkshire</w:t>
      </w:r>
      <w:r w:rsidR="00425DA9">
        <w:t xml:space="preserve"> </w:t>
      </w:r>
      <w:r w:rsidR="00143841">
        <w:t>District</w:t>
      </w:r>
      <w:r>
        <w:t xml:space="preserve">. </w:t>
      </w:r>
    </w:p>
    <w:p w14:paraId="66D17E2B" w14:textId="77777777" w:rsidR="007525B2" w:rsidRDefault="007525B2" w:rsidP="0014458C">
      <w:pPr>
        <w:pStyle w:val="Reporttext"/>
      </w:pPr>
      <w:r>
        <w:t>Relevant regional, sub-regional and local information has been collected, collated and reviewed, including information on:</w:t>
      </w:r>
    </w:p>
    <w:p w14:paraId="0DE21FDA" w14:textId="77777777" w:rsidR="007525B2" w:rsidRDefault="007525B2" w:rsidP="007525B2">
      <w:pPr>
        <w:numPr>
          <w:ilvl w:val="0"/>
          <w:numId w:val="9"/>
        </w:numPr>
        <w:ind w:left="1080"/>
      </w:pPr>
      <w:r>
        <w:t>The national policy and legislative context;</w:t>
      </w:r>
    </w:p>
    <w:p w14:paraId="36EC94B6" w14:textId="5985F881" w:rsidR="007525B2" w:rsidRPr="0089629F" w:rsidRDefault="007525B2" w:rsidP="007525B2">
      <w:pPr>
        <w:numPr>
          <w:ilvl w:val="0"/>
          <w:numId w:val="9"/>
        </w:numPr>
        <w:ind w:left="1080"/>
      </w:pPr>
      <w:r w:rsidRPr="0089629F">
        <w:t xml:space="preserve">Current policies towards Gypsies and Travellers </w:t>
      </w:r>
      <w:r w:rsidRPr="00F0319D">
        <w:t xml:space="preserve">in </w:t>
      </w:r>
      <w:r w:rsidR="00EE6DA0">
        <w:t>West Berkshire</w:t>
      </w:r>
      <w:r w:rsidRPr="00F0319D">
        <w:t xml:space="preserve"> (drawn from Local Authority policy documents, planning documents</w:t>
      </w:r>
      <w:r w:rsidRPr="0089629F">
        <w:t>, housing strategies and homelessness strategies); and</w:t>
      </w:r>
    </w:p>
    <w:p w14:paraId="2D11CB88" w14:textId="13607FBD" w:rsidR="007525B2" w:rsidRPr="00B76BED" w:rsidRDefault="007525B2" w:rsidP="007525B2">
      <w:pPr>
        <w:numPr>
          <w:ilvl w:val="0"/>
          <w:numId w:val="9"/>
        </w:numPr>
        <w:ind w:left="1080"/>
      </w:pPr>
      <w:r w:rsidRPr="00B76BED">
        <w:t>Analysis of existing data sources avai</w:t>
      </w:r>
      <w:r w:rsidR="00425DA9">
        <w:t>lable from the Council</w:t>
      </w:r>
      <w:r w:rsidRPr="00B76BED">
        <w:t xml:space="preserve">. </w:t>
      </w:r>
    </w:p>
    <w:p w14:paraId="1EB9E9D7" w14:textId="77777777" w:rsidR="007525B2" w:rsidRPr="00B76BED" w:rsidRDefault="007525B2" w:rsidP="0014458C">
      <w:pPr>
        <w:pStyle w:val="Reporttext"/>
      </w:pPr>
      <w:r w:rsidRPr="00B76BED">
        <w:t xml:space="preserve">This information has helped to shape the development of this report, and in particular the review of the legislative and policy context set out in Chapter 2. </w:t>
      </w:r>
    </w:p>
    <w:p w14:paraId="5D4C90E1" w14:textId="3913A4A9" w:rsidR="007525B2" w:rsidRPr="00B76BED" w:rsidRDefault="007525B2" w:rsidP="0014458C">
      <w:pPr>
        <w:pStyle w:val="Reporttext"/>
      </w:pPr>
      <w:r w:rsidRPr="00B76BED">
        <w:t>The project steering group was fully consulted regarding the most appropriate methodology for undertaking the assessment work, including site fieldwor</w:t>
      </w:r>
      <w:r w:rsidR="009C1C62">
        <w:t>k</w:t>
      </w:r>
      <w:r w:rsidRPr="00B76BED">
        <w:t>.</w:t>
      </w:r>
    </w:p>
    <w:p w14:paraId="2DA0B753" w14:textId="77777777" w:rsidR="007525B2" w:rsidRDefault="007525B2" w:rsidP="007525B2">
      <w:pPr>
        <w:tabs>
          <w:tab w:val="num" w:pos="709"/>
        </w:tabs>
        <w:ind w:hanging="709"/>
        <w:rPr>
          <w:rFonts w:cs="Arial"/>
        </w:rPr>
      </w:pPr>
    </w:p>
    <w:p w14:paraId="09A5A8D2" w14:textId="7709B9B7" w:rsidR="007525B2" w:rsidRDefault="007525B2" w:rsidP="007525B2">
      <w:pPr>
        <w:pStyle w:val="Heading2"/>
        <w:ind w:left="709"/>
      </w:pPr>
      <w:bookmarkStart w:id="86" w:name="_Toc377120799"/>
      <w:bookmarkStart w:id="87" w:name="_Toc397431606"/>
      <w:r>
        <w:tab/>
      </w:r>
      <w:bookmarkStart w:id="88" w:name="_Toc477256931"/>
      <w:bookmarkStart w:id="89" w:name="_Toc459646230"/>
      <w:bookmarkStart w:id="90" w:name="_Toc417995949"/>
      <w:bookmarkStart w:id="91" w:name="_Toc485383231"/>
      <w:bookmarkStart w:id="92" w:name="_Toc510091958"/>
      <w:bookmarkStart w:id="93" w:name="_Toc13845471"/>
      <w:r>
        <w:t xml:space="preserve">Phase 2: </w:t>
      </w:r>
      <w:bookmarkEnd w:id="88"/>
      <w:r w:rsidR="009C1C62">
        <w:t xml:space="preserve">Site observation, </w:t>
      </w:r>
      <w:r>
        <w:t>interviews with Gypsies and Travellers</w:t>
      </w:r>
      <w:bookmarkEnd w:id="89"/>
      <w:r>
        <w:t xml:space="preserve"> </w:t>
      </w:r>
      <w:bookmarkEnd w:id="86"/>
      <w:bookmarkEnd w:id="87"/>
      <w:bookmarkEnd w:id="90"/>
      <w:bookmarkEnd w:id="91"/>
      <w:bookmarkEnd w:id="92"/>
      <w:r w:rsidR="009C1C62">
        <w:t>and gathering of demographic information</w:t>
      </w:r>
      <w:bookmarkEnd w:id="93"/>
    </w:p>
    <w:p w14:paraId="78B17634" w14:textId="42CF8564" w:rsidR="00A22E1A" w:rsidRPr="00C75DFB" w:rsidRDefault="007525B2" w:rsidP="00747925">
      <w:pPr>
        <w:pStyle w:val="Reporttext"/>
      </w:pPr>
      <w:r w:rsidRPr="00C75DFB">
        <w:t xml:space="preserve">The primary fieldwork for this study comprised survey work with Gypsies and Travellers. The questionnaire (Appendix C) </w:t>
      </w:r>
      <w:r w:rsidR="003E5B86" w:rsidRPr="00C75DFB">
        <w:t>was</w:t>
      </w:r>
      <w:r w:rsidRPr="00C75DFB">
        <w:t xml:space="preserve"> designed by arc</w:t>
      </w:r>
      <w:r w:rsidRPr="0014458C">
        <w:rPr>
          <w:vertAlign w:val="superscript"/>
        </w:rPr>
        <w:t>4</w:t>
      </w:r>
      <w:r w:rsidRPr="00C75DFB">
        <w:t xml:space="preserve"> in consultation with the </w:t>
      </w:r>
      <w:r w:rsidR="009C1C62" w:rsidRPr="00C75DFB">
        <w:t>project steering group and built</w:t>
      </w:r>
      <w:r w:rsidRPr="00C75DFB">
        <w:t xml:space="preserve"> upon our standard questionnaire.</w:t>
      </w:r>
      <w:r w:rsidR="00747925" w:rsidRPr="00747925">
        <w:t xml:space="preserve"> </w:t>
      </w:r>
      <w:r w:rsidR="00747925">
        <w:t xml:space="preserve">The cultural needs of </w:t>
      </w:r>
      <w:r w:rsidR="00747925" w:rsidRPr="00343344">
        <w:t>Gypsies and Travellers differ from those of the rest of the population and consideration of culturally specific requirements such as the need for additional permanent caravan sites and/or transit sites and/</w:t>
      </w:r>
      <w:r w:rsidR="00747925" w:rsidRPr="006C205B">
        <w:t xml:space="preserve">or stopping places (or </w:t>
      </w:r>
      <w:r w:rsidR="00747925" w:rsidRPr="008D3082">
        <w:t xml:space="preserve">improvements to existing sites) are key to this study. The research has therefore explicitly sought information from Gypsies and Travellers from across the </w:t>
      </w:r>
      <w:r w:rsidR="00747925">
        <w:t>area</w:t>
      </w:r>
      <w:r w:rsidR="00747925" w:rsidRPr="008D3082">
        <w:t xml:space="preserve"> living in different types of </w:t>
      </w:r>
      <w:r w:rsidR="00747925" w:rsidRPr="00AB59BE">
        <w:t xml:space="preserve">accommodation. </w:t>
      </w:r>
    </w:p>
    <w:p w14:paraId="1DDCD61C" w14:textId="6CCC69F3" w:rsidR="0051006C" w:rsidRPr="00717928" w:rsidRDefault="00A22E1A" w:rsidP="0014458C">
      <w:pPr>
        <w:pStyle w:val="Reporttext"/>
      </w:pPr>
      <w:r w:rsidRPr="002D6298">
        <w:t>The site observation exer</w:t>
      </w:r>
      <w:r w:rsidR="00AE5375" w:rsidRPr="002D6298">
        <w:t>cise was successfully completed</w:t>
      </w:r>
      <w:r w:rsidRPr="002D6298">
        <w:t xml:space="preserve"> </w:t>
      </w:r>
      <w:r w:rsidR="0051006C" w:rsidRPr="002D6298">
        <w:t xml:space="preserve">in August 2018 which </w:t>
      </w:r>
      <w:r w:rsidR="0051006C" w:rsidRPr="00717928">
        <w:t xml:space="preserve">involved visits to most sites. </w:t>
      </w:r>
      <w:r w:rsidR="0051006C" w:rsidRPr="00F33846">
        <w:t>Paices</w:t>
      </w:r>
      <w:r w:rsidR="0051006C" w:rsidRPr="00717928">
        <w:t xml:space="preserve"> Hill was visited separately by the </w:t>
      </w:r>
      <w:r w:rsidR="00FE1557" w:rsidRPr="00717928">
        <w:t>field team</w:t>
      </w:r>
      <w:r w:rsidR="0051006C" w:rsidRPr="00717928">
        <w:t xml:space="preserve"> in November 2018 to </w:t>
      </w:r>
      <w:r w:rsidR="00934FFE" w:rsidRPr="00717928">
        <w:t>carry out household surveys</w:t>
      </w:r>
      <w:r w:rsidR="0051006C" w:rsidRPr="00717928">
        <w:t xml:space="preserve">. </w:t>
      </w:r>
    </w:p>
    <w:p w14:paraId="53C89E3B" w14:textId="41C7E135" w:rsidR="00747925" w:rsidRDefault="0051006C" w:rsidP="0014458C">
      <w:pPr>
        <w:pStyle w:val="Reporttext"/>
      </w:pPr>
      <w:r w:rsidRPr="00717928">
        <w:t>A total of 21 household interviews were achieved from a target of 33. An estimated 1</w:t>
      </w:r>
      <w:r w:rsidR="00747925">
        <w:t>1</w:t>
      </w:r>
      <w:r w:rsidRPr="00717928">
        <w:t xml:space="preserve"> households were not interviewed on </w:t>
      </w:r>
      <w:r w:rsidRPr="00F33846">
        <w:t>Paices</w:t>
      </w:r>
      <w:r w:rsidRPr="00717928">
        <w:t xml:space="preserve"> Hill </w:t>
      </w:r>
      <w:r w:rsidR="00747925">
        <w:t xml:space="preserve">due to challenging site circumstances, but this non-response has been taken into account through weighting of data. </w:t>
      </w:r>
    </w:p>
    <w:p w14:paraId="6E081D90" w14:textId="0934A2CA" w:rsidR="00747925" w:rsidRDefault="00747925" w:rsidP="0014458C">
      <w:pPr>
        <w:pStyle w:val="Reporttext"/>
      </w:pPr>
      <w:r>
        <w:t xml:space="preserve">The evidence base also includes household information from 4 households based on planning statements and planning application data. </w:t>
      </w:r>
    </w:p>
    <w:p w14:paraId="2BAE5D23" w14:textId="03D45E6C" w:rsidR="00747925" w:rsidRDefault="00747925" w:rsidP="0014458C">
      <w:pPr>
        <w:pStyle w:val="Reporttext"/>
      </w:pPr>
      <w:r>
        <w:t xml:space="preserve">Data was also obtained for 4 households who have moved away from the Council site at Four Houses Corner, with information provided by site residents. </w:t>
      </w:r>
    </w:p>
    <w:p w14:paraId="09E635B3" w14:textId="3A3142FD" w:rsidR="00747925" w:rsidRPr="00747925" w:rsidRDefault="0051006C" w:rsidP="0014458C">
      <w:pPr>
        <w:pStyle w:val="Reporttext"/>
        <w:rPr>
          <w:rFonts w:cs="Arial"/>
        </w:rPr>
      </w:pPr>
      <w:r w:rsidRPr="00717928">
        <w:t>The</w:t>
      </w:r>
      <w:r w:rsidR="00535E7D" w:rsidRPr="0014458C">
        <w:rPr>
          <w:rFonts w:cs="Arial"/>
        </w:rPr>
        <w:t xml:space="preserve"> study</w:t>
      </w:r>
      <w:r w:rsidR="00747925">
        <w:rPr>
          <w:rFonts w:cs="Arial"/>
        </w:rPr>
        <w:t xml:space="preserve"> therefore</w:t>
      </w:r>
      <w:r w:rsidR="00535E7D" w:rsidRPr="0014458C">
        <w:rPr>
          <w:rFonts w:cs="Arial"/>
        </w:rPr>
        <w:t xml:space="preserve"> </w:t>
      </w:r>
      <w:r w:rsidR="00747925">
        <w:rPr>
          <w:rFonts w:cs="Arial"/>
        </w:rPr>
        <w:t>assumes</w:t>
      </w:r>
      <w:r w:rsidR="00535E7D" w:rsidRPr="0014458C">
        <w:rPr>
          <w:rFonts w:cs="Arial"/>
        </w:rPr>
        <w:t xml:space="preserve"> a total of </w:t>
      </w:r>
      <w:r w:rsidR="00747925">
        <w:rPr>
          <w:rFonts w:cs="Arial"/>
        </w:rPr>
        <w:t xml:space="preserve">36 households living on 36 pitches, with data available for 25 of these households (representing 69.4% of households). </w:t>
      </w:r>
      <w:r w:rsidR="00535E7D" w:rsidRPr="0014458C">
        <w:rPr>
          <w:rFonts w:cs="Arial"/>
        </w:rPr>
        <w:t xml:space="preserve"> </w:t>
      </w:r>
      <w:r w:rsidR="00AB59BE" w:rsidRPr="0014458C">
        <w:rPr>
          <w:rFonts w:cs="Arial"/>
        </w:rPr>
        <w:t>The r</w:t>
      </w:r>
      <w:r w:rsidR="00AB59BE" w:rsidRPr="00717928">
        <w:t xml:space="preserve">esponses achieved by tenure and type of site are presented in Table 3.1. </w:t>
      </w:r>
    </w:p>
    <w:p w14:paraId="38718A6A" w14:textId="7EFA4F1C" w:rsidR="00C72BE1" w:rsidRPr="0014458C" w:rsidRDefault="00747925" w:rsidP="0014458C">
      <w:pPr>
        <w:pStyle w:val="Reporttext"/>
        <w:rPr>
          <w:rFonts w:cs="Arial"/>
        </w:rPr>
      </w:pPr>
      <w:r>
        <w:t>Note there are also 15 transit pitches at Paices Hill in addition to the 24 residential pitches.</w:t>
      </w:r>
    </w:p>
    <w:p w14:paraId="6D49D57B" w14:textId="3C5ADBFB" w:rsidR="00C72BE1" w:rsidRDefault="00C72BE1" w:rsidP="003E6544"/>
    <w:p w14:paraId="3FCFCD8C" w14:textId="30DBFDA8" w:rsidR="003E6544" w:rsidRDefault="003E6544">
      <w:pPr>
        <w:spacing w:before="0" w:after="0"/>
        <w:jc w:val="left"/>
        <w:rPr>
          <w:color w:val="FF0000"/>
        </w:rPr>
      </w:pPr>
      <w:r>
        <w:rPr>
          <w:color w:val="FF0000"/>
        </w:rPr>
        <w:br w:type="page"/>
      </w:r>
    </w:p>
    <w:tbl>
      <w:tblPr>
        <w:tblW w:w="5257"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2038"/>
        <w:gridCol w:w="967"/>
        <w:gridCol w:w="967"/>
        <w:gridCol w:w="1108"/>
        <w:gridCol w:w="1106"/>
        <w:gridCol w:w="1106"/>
        <w:gridCol w:w="1338"/>
        <w:gridCol w:w="1008"/>
        <w:gridCol w:w="14"/>
      </w:tblGrid>
      <w:tr w:rsidR="000A0345" w:rsidRPr="00A11AC7" w14:paraId="6969B99C" w14:textId="77777777" w:rsidTr="00747925">
        <w:tc>
          <w:tcPr>
            <w:tcW w:w="5000" w:type="pct"/>
            <w:gridSpan w:val="9"/>
            <w:tcBorders>
              <w:top w:val="single" w:sz="4" w:space="0" w:color="006666"/>
              <w:left w:val="single" w:sz="4" w:space="0" w:color="006666"/>
              <w:bottom w:val="single" w:sz="4" w:space="0" w:color="006666"/>
              <w:right w:val="single" w:sz="4" w:space="0" w:color="006666"/>
            </w:tcBorders>
            <w:shd w:val="clear" w:color="auto" w:fill="009999"/>
          </w:tcPr>
          <w:p w14:paraId="703CD950" w14:textId="512B9A98" w:rsidR="000A0345" w:rsidRPr="00A11AC7" w:rsidRDefault="000A0345" w:rsidP="003E6544">
            <w:pPr>
              <w:pStyle w:val="tableheading"/>
              <w:rPr>
                <w:bCs/>
                <w:lang w:eastAsia="en-GB"/>
              </w:rPr>
            </w:pPr>
            <w:r w:rsidRPr="00A11AC7">
              <w:rPr>
                <w:b w:val="0"/>
                <w:color w:val="FFFFFF"/>
              </w:rPr>
              <w:br w:type="page"/>
            </w:r>
            <w:bookmarkStart w:id="94" w:name="_Toc485383275"/>
            <w:bookmarkStart w:id="95" w:name="_Toc510092009"/>
            <w:bookmarkStart w:id="96" w:name="_Toc13845507"/>
            <w:r w:rsidRPr="00A11AC7">
              <w:t>Table 3.1</w:t>
            </w:r>
            <w:r w:rsidRPr="00A11AC7">
              <w:tab/>
              <w:t>Responses achieved to the Household Survey 201</w:t>
            </w:r>
            <w:r>
              <w:t>8</w:t>
            </w:r>
            <w:r w:rsidRPr="00A11AC7">
              <w:t xml:space="preserve"> by tenure and type of </w:t>
            </w:r>
            <w:r>
              <w:t>accommodation</w:t>
            </w:r>
            <w:bookmarkEnd w:id="94"/>
            <w:bookmarkEnd w:id="95"/>
            <w:bookmarkEnd w:id="96"/>
            <w:r w:rsidRPr="00A11AC7">
              <w:t xml:space="preserve"> </w:t>
            </w:r>
          </w:p>
        </w:tc>
      </w:tr>
      <w:tr w:rsidR="000A0345" w:rsidRPr="00A11AC7" w14:paraId="366A81FB" w14:textId="77777777" w:rsidTr="00747925">
        <w:tc>
          <w:tcPr>
            <w:tcW w:w="5000" w:type="pct"/>
            <w:gridSpan w:val="9"/>
            <w:tcBorders>
              <w:top w:val="single" w:sz="4" w:space="0" w:color="006666"/>
              <w:left w:val="single" w:sz="4" w:space="0" w:color="006666"/>
              <w:bottom w:val="single" w:sz="4" w:space="0" w:color="006666"/>
              <w:right w:val="single" w:sz="4" w:space="0" w:color="006666"/>
            </w:tcBorders>
            <w:shd w:val="clear" w:color="auto" w:fill="009999"/>
          </w:tcPr>
          <w:p w14:paraId="18029713" w14:textId="13A36ED0" w:rsidR="000A0345" w:rsidRPr="00A11AC7" w:rsidRDefault="000A0345" w:rsidP="003E6544">
            <w:pPr>
              <w:spacing w:before="0" w:after="0"/>
              <w:jc w:val="left"/>
              <w:rPr>
                <w:rFonts w:cs="Arial"/>
                <w:b/>
                <w:bCs/>
                <w:color w:val="FFFFFF"/>
                <w:sz w:val="22"/>
                <w:szCs w:val="22"/>
                <w:lang w:eastAsia="en-GB"/>
              </w:rPr>
            </w:pPr>
            <w:r w:rsidRPr="00A11AC7">
              <w:rPr>
                <w:rFonts w:cs="Arial"/>
                <w:b/>
                <w:bCs/>
                <w:color w:val="FFFFFF"/>
                <w:sz w:val="22"/>
                <w:szCs w:val="22"/>
                <w:lang w:eastAsia="en-GB"/>
              </w:rPr>
              <w:t>Gypsies and Travellers</w:t>
            </w:r>
          </w:p>
        </w:tc>
      </w:tr>
      <w:tr w:rsidR="00F40E2C" w:rsidRPr="00A11AC7" w14:paraId="427563E2" w14:textId="77777777" w:rsidTr="00747925">
        <w:tc>
          <w:tcPr>
            <w:tcW w:w="1056" w:type="pct"/>
            <w:vMerge w:val="restar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2F093800" w14:textId="77777777" w:rsidR="000A0345" w:rsidRPr="00A11AC7" w:rsidRDefault="000A0345" w:rsidP="003E6544">
            <w:pPr>
              <w:spacing w:before="0" w:after="0"/>
              <w:jc w:val="left"/>
              <w:rPr>
                <w:rFonts w:cs="Arial"/>
                <w:b/>
                <w:bCs/>
                <w:color w:val="FFFFFF"/>
                <w:sz w:val="22"/>
                <w:szCs w:val="22"/>
                <w:lang w:eastAsia="en-GB"/>
              </w:rPr>
            </w:pPr>
            <w:r w:rsidRPr="00A11AC7">
              <w:rPr>
                <w:rFonts w:cs="Arial"/>
                <w:b/>
                <w:bCs/>
                <w:color w:val="FFFFFF"/>
                <w:sz w:val="22"/>
                <w:szCs w:val="22"/>
                <w:lang w:eastAsia="en-GB"/>
              </w:rPr>
              <w:t>Tenure and type of site</w:t>
            </w:r>
          </w:p>
        </w:tc>
        <w:tc>
          <w:tcPr>
            <w:tcW w:w="1576" w:type="pct"/>
            <w:gridSpan w:val="3"/>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vAlign w:val="bottom"/>
            <w:hideMark/>
          </w:tcPr>
          <w:p w14:paraId="50EF1159" w14:textId="682AFFE6" w:rsidR="000A0345" w:rsidRPr="00A11AC7" w:rsidRDefault="000A0345" w:rsidP="003E6544">
            <w:pPr>
              <w:spacing w:before="0" w:after="0"/>
              <w:jc w:val="center"/>
              <w:rPr>
                <w:rFonts w:cs="Arial"/>
                <w:b/>
                <w:bCs/>
                <w:color w:val="FFFFFF"/>
                <w:sz w:val="22"/>
                <w:szCs w:val="22"/>
                <w:lang w:eastAsia="en-GB"/>
              </w:rPr>
            </w:pPr>
            <w:r w:rsidRPr="00A11AC7">
              <w:rPr>
                <w:rFonts w:cs="Arial"/>
                <w:b/>
                <w:bCs/>
                <w:color w:val="FFFFFF"/>
                <w:sz w:val="22"/>
                <w:szCs w:val="22"/>
                <w:lang w:eastAsia="en-GB"/>
              </w:rPr>
              <w:t>Pitch numbers</w:t>
            </w:r>
          </w:p>
        </w:tc>
        <w:tc>
          <w:tcPr>
            <w:tcW w:w="2368" w:type="pct"/>
            <w:gridSpan w:val="5"/>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tcPr>
          <w:p w14:paraId="5ACB407A" w14:textId="2415617F" w:rsidR="000A0345" w:rsidRPr="00A11AC7" w:rsidRDefault="000A0345" w:rsidP="003E6544">
            <w:pPr>
              <w:spacing w:before="0" w:after="0"/>
              <w:jc w:val="center"/>
              <w:rPr>
                <w:rFonts w:cs="Arial"/>
                <w:b/>
                <w:bCs/>
                <w:color w:val="FFFFFF"/>
                <w:sz w:val="22"/>
                <w:szCs w:val="22"/>
                <w:lang w:eastAsia="en-GB"/>
              </w:rPr>
            </w:pPr>
            <w:r w:rsidRPr="00A11AC7">
              <w:rPr>
                <w:rFonts w:cs="Arial"/>
                <w:b/>
                <w:bCs/>
                <w:color w:val="FFFFFF"/>
                <w:sz w:val="22"/>
                <w:szCs w:val="22"/>
                <w:lang w:eastAsia="en-GB"/>
              </w:rPr>
              <w:t>Household numbers</w:t>
            </w:r>
          </w:p>
        </w:tc>
      </w:tr>
      <w:tr w:rsidR="00F40E2C" w:rsidRPr="00A11AC7" w14:paraId="47513EC8" w14:textId="77777777" w:rsidTr="00747925">
        <w:trPr>
          <w:gridAfter w:val="1"/>
          <w:wAfter w:w="7" w:type="pct"/>
        </w:trPr>
        <w:tc>
          <w:tcPr>
            <w:tcW w:w="1056" w:type="pct"/>
            <w:vMerge/>
            <w:tcBorders>
              <w:top w:val="single" w:sz="4" w:space="0" w:color="006666"/>
              <w:left w:val="single" w:sz="4" w:space="0" w:color="006666"/>
              <w:bottom w:val="single" w:sz="4" w:space="0" w:color="006666"/>
              <w:right w:val="single" w:sz="4" w:space="0" w:color="006666"/>
            </w:tcBorders>
            <w:shd w:val="clear" w:color="auto" w:fill="009999"/>
            <w:vAlign w:val="center"/>
            <w:hideMark/>
          </w:tcPr>
          <w:p w14:paraId="2C85AD98" w14:textId="77777777" w:rsidR="000A0345" w:rsidRPr="00A11AC7" w:rsidRDefault="000A0345" w:rsidP="003E6544">
            <w:pPr>
              <w:spacing w:before="0" w:after="0"/>
              <w:jc w:val="left"/>
              <w:rPr>
                <w:rFonts w:cs="Arial"/>
                <w:b/>
                <w:bCs/>
                <w:color w:val="FFFFFF"/>
                <w:sz w:val="22"/>
                <w:szCs w:val="22"/>
                <w:lang w:eastAsia="en-GB"/>
              </w:rPr>
            </w:pPr>
          </w:p>
        </w:tc>
        <w:tc>
          <w:tcPr>
            <w:tcW w:w="501" w:type="pct"/>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vAlign w:val="bottom"/>
            <w:hideMark/>
          </w:tcPr>
          <w:p w14:paraId="1F61678E" w14:textId="77777777" w:rsidR="000A0345" w:rsidRPr="00A11AC7" w:rsidRDefault="000A0345" w:rsidP="003E6544">
            <w:pPr>
              <w:spacing w:before="0" w:after="0"/>
              <w:jc w:val="center"/>
              <w:rPr>
                <w:rFonts w:cs="Arial"/>
                <w:b/>
                <w:bCs/>
                <w:color w:val="FFFFFF"/>
                <w:sz w:val="22"/>
                <w:szCs w:val="22"/>
                <w:lang w:eastAsia="en-GB"/>
              </w:rPr>
            </w:pPr>
            <w:r w:rsidRPr="00A11AC7">
              <w:rPr>
                <w:rFonts w:cs="Arial"/>
                <w:b/>
                <w:bCs/>
                <w:color w:val="FFFFFF"/>
                <w:sz w:val="22"/>
                <w:szCs w:val="22"/>
                <w:lang w:eastAsia="en-GB"/>
              </w:rPr>
              <w:t>Total pitches</w:t>
            </w:r>
          </w:p>
        </w:tc>
        <w:tc>
          <w:tcPr>
            <w:tcW w:w="501" w:type="pct"/>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vAlign w:val="bottom"/>
            <w:hideMark/>
          </w:tcPr>
          <w:p w14:paraId="76CE6310" w14:textId="77777777" w:rsidR="000A0345" w:rsidRPr="00A11AC7" w:rsidRDefault="000A0345" w:rsidP="003E6544">
            <w:pPr>
              <w:spacing w:before="0" w:after="0"/>
              <w:jc w:val="center"/>
              <w:rPr>
                <w:rFonts w:cs="Arial"/>
                <w:b/>
                <w:bCs/>
                <w:color w:val="FFFFFF"/>
                <w:sz w:val="22"/>
                <w:szCs w:val="22"/>
                <w:lang w:eastAsia="en-GB"/>
              </w:rPr>
            </w:pPr>
            <w:r w:rsidRPr="00A11AC7">
              <w:rPr>
                <w:rFonts w:cs="Arial"/>
                <w:b/>
                <w:bCs/>
                <w:color w:val="FFFFFF"/>
                <w:sz w:val="22"/>
                <w:szCs w:val="22"/>
                <w:lang w:eastAsia="en-GB"/>
              </w:rPr>
              <w:t>Total vacant</w:t>
            </w:r>
          </w:p>
        </w:tc>
        <w:tc>
          <w:tcPr>
            <w:tcW w:w="574" w:type="pct"/>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vAlign w:val="bottom"/>
          </w:tcPr>
          <w:p w14:paraId="66BB4AA8" w14:textId="77777777" w:rsidR="000A0345" w:rsidRPr="00A11AC7" w:rsidRDefault="000A0345" w:rsidP="003E6544">
            <w:pPr>
              <w:spacing w:before="0" w:after="0"/>
              <w:jc w:val="center"/>
              <w:rPr>
                <w:rFonts w:cs="Arial"/>
                <w:b/>
                <w:color w:val="FFFFFF"/>
                <w:sz w:val="22"/>
                <w:szCs w:val="22"/>
                <w:lang w:eastAsia="en-GB"/>
              </w:rPr>
            </w:pPr>
            <w:r w:rsidRPr="00A11AC7">
              <w:rPr>
                <w:rFonts w:cs="Arial"/>
                <w:b/>
                <w:color w:val="FFFFFF"/>
                <w:sz w:val="22"/>
                <w:szCs w:val="22"/>
                <w:lang w:eastAsia="en-GB"/>
              </w:rPr>
              <w:t>Occupied pitches</w:t>
            </w:r>
          </w:p>
        </w:tc>
        <w:tc>
          <w:tcPr>
            <w:tcW w:w="573" w:type="pct"/>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vAlign w:val="bottom"/>
            <w:hideMark/>
          </w:tcPr>
          <w:p w14:paraId="3A2BF3F6" w14:textId="77777777" w:rsidR="000A0345" w:rsidRPr="00A11AC7" w:rsidRDefault="000A0345" w:rsidP="003E6544">
            <w:pPr>
              <w:spacing w:before="0" w:after="0"/>
              <w:jc w:val="center"/>
              <w:rPr>
                <w:rFonts w:cs="Arial"/>
                <w:b/>
                <w:color w:val="FFFFFF"/>
                <w:sz w:val="22"/>
                <w:szCs w:val="22"/>
                <w:lang w:eastAsia="en-GB"/>
              </w:rPr>
            </w:pPr>
            <w:r w:rsidRPr="00A11AC7">
              <w:rPr>
                <w:rFonts w:cs="Arial"/>
                <w:b/>
                <w:color w:val="FFFFFF"/>
                <w:sz w:val="22"/>
                <w:szCs w:val="22"/>
                <w:lang w:eastAsia="en-GB"/>
              </w:rPr>
              <w:t>Total households</w:t>
            </w:r>
          </w:p>
        </w:tc>
        <w:tc>
          <w:tcPr>
            <w:tcW w:w="573" w:type="pct"/>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vAlign w:val="bottom"/>
          </w:tcPr>
          <w:p w14:paraId="14B5730F" w14:textId="64E0A981" w:rsidR="000A0345" w:rsidRPr="00A11AC7" w:rsidRDefault="000A0345" w:rsidP="003E6544">
            <w:pPr>
              <w:spacing w:before="0" w:after="0"/>
              <w:jc w:val="center"/>
              <w:rPr>
                <w:rFonts w:cs="Arial"/>
                <w:b/>
                <w:bCs/>
                <w:color w:val="FFFFFF"/>
                <w:sz w:val="22"/>
                <w:szCs w:val="22"/>
                <w:lang w:eastAsia="en-GB"/>
              </w:rPr>
            </w:pPr>
            <w:r w:rsidRPr="00A11AC7">
              <w:rPr>
                <w:rFonts w:cs="Arial"/>
                <w:b/>
                <w:bCs/>
                <w:color w:val="FFFFFF"/>
                <w:sz w:val="22"/>
                <w:szCs w:val="22"/>
                <w:lang w:eastAsia="en-GB"/>
              </w:rPr>
              <w:t>Interviews achieved</w:t>
            </w:r>
          </w:p>
        </w:tc>
        <w:tc>
          <w:tcPr>
            <w:tcW w:w="693" w:type="pct"/>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vAlign w:val="bottom"/>
          </w:tcPr>
          <w:p w14:paraId="20E49FD5" w14:textId="64568F92" w:rsidR="000A0345" w:rsidRPr="00A11AC7" w:rsidRDefault="000A0345" w:rsidP="003E6544">
            <w:pPr>
              <w:spacing w:before="0" w:after="0"/>
              <w:jc w:val="center"/>
              <w:rPr>
                <w:rFonts w:cs="Arial"/>
                <w:b/>
                <w:bCs/>
                <w:color w:val="FFFFFF"/>
                <w:sz w:val="22"/>
                <w:szCs w:val="22"/>
                <w:lang w:eastAsia="en-GB"/>
              </w:rPr>
            </w:pPr>
            <w:r>
              <w:rPr>
                <w:rFonts w:cs="Arial"/>
                <w:b/>
                <w:bCs/>
                <w:color w:val="FFFFFF"/>
                <w:sz w:val="22"/>
                <w:szCs w:val="22"/>
                <w:lang w:eastAsia="en-GB"/>
              </w:rPr>
              <w:t>Household data source</w:t>
            </w:r>
          </w:p>
        </w:tc>
        <w:tc>
          <w:tcPr>
            <w:tcW w:w="522" w:type="pct"/>
            <w:tcBorders>
              <w:top w:val="single" w:sz="4" w:space="0" w:color="006666"/>
              <w:left w:val="single" w:sz="4" w:space="0" w:color="006666"/>
              <w:bottom w:val="single" w:sz="4" w:space="0" w:color="006666"/>
              <w:right w:val="single" w:sz="4" w:space="0" w:color="006666"/>
            </w:tcBorders>
            <w:shd w:val="clear" w:color="auto" w:fill="009999"/>
            <w:tcMar>
              <w:left w:w="0" w:type="dxa"/>
              <w:right w:w="0" w:type="dxa"/>
            </w:tcMar>
            <w:vAlign w:val="bottom"/>
            <w:hideMark/>
          </w:tcPr>
          <w:p w14:paraId="433AF18B" w14:textId="3F39543E" w:rsidR="000A0345" w:rsidRPr="00A11AC7" w:rsidRDefault="000A0345" w:rsidP="003E6544">
            <w:pPr>
              <w:spacing w:before="0" w:after="0"/>
              <w:jc w:val="center"/>
              <w:rPr>
                <w:rFonts w:cs="Arial"/>
                <w:b/>
                <w:bCs/>
                <w:color w:val="FFFFFF"/>
                <w:sz w:val="22"/>
                <w:szCs w:val="22"/>
                <w:lang w:eastAsia="en-GB"/>
              </w:rPr>
            </w:pPr>
            <w:r>
              <w:rPr>
                <w:rFonts w:cs="Arial"/>
                <w:b/>
                <w:bCs/>
                <w:color w:val="FFFFFF"/>
                <w:sz w:val="22"/>
                <w:szCs w:val="22"/>
                <w:lang w:eastAsia="en-GB"/>
              </w:rPr>
              <w:t>Final household data</w:t>
            </w:r>
          </w:p>
        </w:tc>
      </w:tr>
      <w:tr w:rsidR="00F40E2C" w:rsidRPr="00A11AC7" w14:paraId="32BAA7ED" w14:textId="77777777" w:rsidTr="00747925">
        <w:trPr>
          <w:gridAfter w:val="1"/>
          <w:wAfter w:w="7" w:type="pct"/>
        </w:trPr>
        <w:tc>
          <w:tcPr>
            <w:tcW w:w="1056" w:type="pct"/>
            <w:tcBorders>
              <w:top w:val="single" w:sz="4" w:space="0" w:color="006666"/>
              <w:left w:val="single" w:sz="4" w:space="0" w:color="006666"/>
              <w:bottom w:val="single" w:sz="4" w:space="0" w:color="006666"/>
              <w:right w:val="single" w:sz="4" w:space="0" w:color="006666"/>
            </w:tcBorders>
            <w:vAlign w:val="center"/>
          </w:tcPr>
          <w:p w14:paraId="12E25DF8" w14:textId="4F111FA5" w:rsidR="000A0345" w:rsidRPr="00A11AC7" w:rsidRDefault="000A0345" w:rsidP="003E6544">
            <w:pPr>
              <w:spacing w:before="0" w:after="0"/>
              <w:jc w:val="left"/>
              <w:rPr>
                <w:rFonts w:cs="Arial"/>
                <w:color w:val="000000"/>
                <w:sz w:val="22"/>
                <w:szCs w:val="22"/>
                <w:lang w:eastAsia="en-GB"/>
              </w:rPr>
            </w:pPr>
            <w:r>
              <w:rPr>
                <w:sz w:val="22"/>
                <w:szCs w:val="22"/>
              </w:rPr>
              <w:t>Council</w:t>
            </w:r>
            <w:r w:rsidRPr="00A11AC7">
              <w:rPr>
                <w:sz w:val="22"/>
                <w:szCs w:val="22"/>
              </w:rPr>
              <w:t xml:space="preserve"> (permanent) </w:t>
            </w:r>
            <w:r>
              <w:rPr>
                <w:sz w:val="22"/>
                <w:szCs w:val="22"/>
              </w:rPr>
              <w:t>authorised</w:t>
            </w:r>
            <w:r w:rsidR="00747925">
              <w:rPr>
                <w:sz w:val="22"/>
                <w:szCs w:val="22"/>
              </w:rPr>
              <w:t>*</w:t>
            </w:r>
          </w:p>
        </w:tc>
        <w:tc>
          <w:tcPr>
            <w:tcW w:w="501" w:type="pct"/>
            <w:tcBorders>
              <w:top w:val="single" w:sz="4" w:space="0" w:color="006666"/>
              <w:left w:val="single" w:sz="4" w:space="0" w:color="006666"/>
              <w:bottom w:val="single" w:sz="4" w:space="0" w:color="006666"/>
              <w:right w:val="single" w:sz="4" w:space="0" w:color="006666"/>
            </w:tcBorders>
            <w:vAlign w:val="center"/>
          </w:tcPr>
          <w:p w14:paraId="113BA85F" w14:textId="765A55DB"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7</w:t>
            </w:r>
          </w:p>
        </w:tc>
        <w:tc>
          <w:tcPr>
            <w:tcW w:w="501" w:type="pct"/>
            <w:tcBorders>
              <w:top w:val="single" w:sz="4" w:space="0" w:color="006666"/>
              <w:left w:val="single" w:sz="4" w:space="0" w:color="006666"/>
              <w:bottom w:val="single" w:sz="4" w:space="0" w:color="006666"/>
              <w:right w:val="single" w:sz="4" w:space="0" w:color="006666"/>
            </w:tcBorders>
            <w:vAlign w:val="center"/>
          </w:tcPr>
          <w:p w14:paraId="38B6FD9C" w14:textId="43D4BF4C"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0</w:t>
            </w:r>
          </w:p>
        </w:tc>
        <w:tc>
          <w:tcPr>
            <w:tcW w:w="574" w:type="pct"/>
            <w:tcBorders>
              <w:top w:val="single" w:sz="4" w:space="0" w:color="006666"/>
              <w:left w:val="single" w:sz="4" w:space="0" w:color="006666"/>
              <w:bottom w:val="single" w:sz="4" w:space="0" w:color="006666"/>
              <w:right w:val="single" w:sz="4" w:space="0" w:color="006666"/>
            </w:tcBorders>
            <w:vAlign w:val="center"/>
          </w:tcPr>
          <w:p w14:paraId="5F2C0CE2" w14:textId="78C7BC90" w:rsidR="000A0345" w:rsidRPr="00E12BA8" w:rsidRDefault="00717928" w:rsidP="003E6544">
            <w:pPr>
              <w:spacing w:before="0" w:after="0"/>
              <w:jc w:val="center"/>
              <w:rPr>
                <w:sz w:val="22"/>
                <w:szCs w:val="22"/>
              </w:rPr>
            </w:pPr>
            <w:r>
              <w:rPr>
                <w:sz w:val="22"/>
                <w:szCs w:val="22"/>
              </w:rPr>
              <w:t>7</w:t>
            </w:r>
          </w:p>
        </w:tc>
        <w:tc>
          <w:tcPr>
            <w:tcW w:w="573" w:type="pct"/>
            <w:tcBorders>
              <w:top w:val="single" w:sz="4" w:space="0" w:color="006666"/>
              <w:left w:val="single" w:sz="4" w:space="0" w:color="006666"/>
              <w:bottom w:val="single" w:sz="4" w:space="0" w:color="006666"/>
              <w:right w:val="single" w:sz="4" w:space="0" w:color="006666"/>
            </w:tcBorders>
            <w:vAlign w:val="center"/>
          </w:tcPr>
          <w:p w14:paraId="37F71152" w14:textId="2199D175"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7</w:t>
            </w:r>
          </w:p>
        </w:tc>
        <w:tc>
          <w:tcPr>
            <w:tcW w:w="573" w:type="pct"/>
            <w:tcBorders>
              <w:top w:val="single" w:sz="4" w:space="0" w:color="006666"/>
              <w:left w:val="single" w:sz="4" w:space="0" w:color="006666"/>
              <w:bottom w:val="single" w:sz="4" w:space="0" w:color="006666"/>
              <w:right w:val="single" w:sz="4" w:space="0" w:color="006666"/>
            </w:tcBorders>
            <w:vAlign w:val="center"/>
          </w:tcPr>
          <w:p w14:paraId="2CF40A41" w14:textId="250533C5"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7</w:t>
            </w:r>
          </w:p>
        </w:tc>
        <w:tc>
          <w:tcPr>
            <w:tcW w:w="693" w:type="pct"/>
            <w:tcBorders>
              <w:top w:val="single" w:sz="4" w:space="0" w:color="006666"/>
              <w:left w:val="single" w:sz="4" w:space="0" w:color="006666"/>
              <w:bottom w:val="single" w:sz="4" w:space="0" w:color="006666"/>
              <w:right w:val="single" w:sz="4" w:space="0" w:color="006666"/>
            </w:tcBorders>
            <w:vAlign w:val="center"/>
          </w:tcPr>
          <w:p w14:paraId="5C698A4D" w14:textId="26894F3A" w:rsidR="000A0345" w:rsidRPr="00E12BA8" w:rsidRDefault="00747925" w:rsidP="003E6544">
            <w:pPr>
              <w:spacing w:before="0" w:after="0"/>
              <w:jc w:val="center"/>
              <w:rPr>
                <w:rFonts w:cs="Arial"/>
                <w:color w:val="000000"/>
                <w:sz w:val="22"/>
                <w:szCs w:val="22"/>
                <w:lang w:eastAsia="en-GB"/>
              </w:rPr>
            </w:pPr>
            <w:r>
              <w:rPr>
                <w:rFonts w:cs="Arial"/>
                <w:color w:val="000000"/>
                <w:sz w:val="22"/>
                <w:szCs w:val="22"/>
                <w:lang w:eastAsia="en-GB"/>
              </w:rPr>
              <w:t>Household survey</w:t>
            </w:r>
          </w:p>
        </w:tc>
        <w:tc>
          <w:tcPr>
            <w:tcW w:w="522" w:type="pct"/>
            <w:tcBorders>
              <w:top w:val="single" w:sz="4" w:space="0" w:color="006666"/>
              <w:left w:val="single" w:sz="4" w:space="0" w:color="006666"/>
              <w:bottom w:val="single" w:sz="4" w:space="0" w:color="006666"/>
              <w:right w:val="single" w:sz="4" w:space="0" w:color="006666"/>
            </w:tcBorders>
            <w:vAlign w:val="center"/>
          </w:tcPr>
          <w:p w14:paraId="1C603AC0" w14:textId="4C60E5C0"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7</w:t>
            </w:r>
          </w:p>
        </w:tc>
      </w:tr>
      <w:tr w:rsidR="00F40E2C" w:rsidRPr="00A11AC7" w14:paraId="2437E871" w14:textId="77777777" w:rsidTr="00747925">
        <w:trPr>
          <w:gridAfter w:val="1"/>
          <w:wAfter w:w="7" w:type="pct"/>
        </w:trPr>
        <w:tc>
          <w:tcPr>
            <w:tcW w:w="1056" w:type="pct"/>
            <w:tcBorders>
              <w:top w:val="single" w:sz="4" w:space="0" w:color="006666"/>
              <w:left w:val="single" w:sz="4" w:space="0" w:color="006666"/>
              <w:bottom w:val="single" w:sz="4" w:space="0" w:color="006666"/>
              <w:right w:val="single" w:sz="4" w:space="0" w:color="006666"/>
            </w:tcBorders>
            <w:vAlign w:val="center"/>
          </w:tcPr>
          <w:p w14:paraId="3DC8F036" w14:textId="29205309" w:rsidR="000A0345" w:rsidRPr="00A11AC7" w:rsidRDefault="000A0345" w:rsidP="003E6544">
            <w:pPr>
              <w:spacing w:before="0" w:after="0"/>
              <w:jc w:val="left"/>
              <w:rPr>
                <w:sz w:val="22"/>
                <w:szCs w:val="22"/>
              </w:rPr>
            </w:pPr>
            <w:r>
              <w:rPr>
                <w:sz w:val="22"/>
                <w:szCs w:val="22"/>
              </w:rPr>
              <w:t>Private (permanent) authorised</w:t>
            </w:r>
            <w:r w:rsidR="00717928">
              <w:rPr>
                <w:sz w:val="22"/>
                <w:szCs w:val="22"/>
              </w:rPr>
              <w:t xml:space="preserve"> (Paices Hill)</w:t>
            </w:r>
          </w:p>
        </w:tc>
        <w:tc>
          <w:tcPr>
            <w:tcW w:w="501" w:type="pct"/>
            <w:tcBorders>
              <w:top w:val="single" w:sz="4" w:space="0" w:color="006666"/>
              <w:left w:val="single" w:sz="4" w:space="0" w:color="006666"/>
              <w:bottom w:val="single" w:sz="4" w:space="0" w:color="006666"/>
              <w:right w:val="single" w:sz="4" w:space="0" w:color="006666"/>
            </w:tcBorders>
            <w:vAlign w:val="center"/>
          </w:tcPr>
          <w:p w14:paraId="60B41B89" w14:textId="707F3F52"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24</w:t>
            </w:r>
          </w:p>
        </w:tc>
        <w:tc>
          <w:tcPr>
            <w:tcW w:w="501" w:type="pct"/>
            <w:tcBorders>
              <w:top w:val="single" w:sz="4" w:space="0" w:color="006666"/>
              <w:left w:val="single" w:sz="4" w:space="0" w:color="006666"/>
              <w:bottom w:val="single" w:sz="4" w:space="0" w:color="006666"/>
              <w:right w:val="single" w:sz="4" w:space="0" w:color="006666"/>
            </w:tcBorders>
            <w:vAlign w:val="center"/>
          </w:tcPr>
          <w:p w14:paraId="78914164" w14:textId="6B735D72"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0</w:t>
            </w:r>
          </w:p>
        </w:tc>
        <w:tc>
          <w:tcPr>
            <w:tcW w:w="574" w:type="pct"/>
            <w:tcBorders>
              <w:top w:val="single" w:sz="4" w:space="0" w:color="006666"/>
              <w:left w:val="single" w:sz="4" w:space="0" w:color="006666"/>
              <w:bottom w:val="single" w:sz="4" w:space="0" w:color="006666"/>
              <w:right w:val="single" w:sz="4" w:space="0" w:color="006666"/>
            </w:tcBorders>
            <w:vAlign w:val="center"/>
          </w:tcPr>
          <w:p w14:paraId="7786855F" w14:textId="7A2B2373" w:rsidR="000A0345" w:rsidRPr="00E12BA8" w:rsidRDefault="00717928" w:rsidP="003E6544">
            <w:pPr>
              <w:spacing w:before="0" w:after="0"/>
              <w:jc w:val="center"/>
              <w:rPr>
                <w:sz w:val="22"/>
                <w:szCs w:val="22"/>
              </w:rPr>
            </w:pPr>
            <w:r>
              <w:rPr>
                <w:sz w:val="22"/>
                <w:szCs w:val="22"/>
              </w:rPr>
              <w:t>24</w:t>
            </w:r>
          </w:p>
        </w:tc>
        <w:tc>
          <w:tcPr>
            <w:tcW w:w="573" w:type="pct"/>
            <w:tcBorders>
              <w:top w:val="single" w:sz="4" w:space="0" w:color="006666"/>
              <w:left w:val="single" w:sz="4" w:space="0" w:color="006666"/>
              <w:bottom w:val="single" w:sz="4" w:space="0" w:color="006666"/>
              <w:right w:val="single" w:sz="4" w:space="0" w:color="006666"/>
            </w:tcBorders>
            <w:vAlign w:val="center"/>
          </w:tcPr>
          <w:p w14:paraId="7EB78B03" w14:textId="51D0CDEF"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24</w:t>
            </w:r>
          </w:p>
        </w:tc>
        <w:tc>
          <w:tcPr>
            <w:tcW w:w="573" w:type="pct"/>
            <w:tcBorders>
              <w:top w:val="single" w:sz="4" w:space="0" w:color="006666"/>
              <w:left w:val="single" w:sz="4" w:space="0" w:color="006666"/>
              <w:bottom w:val="single" w:sz="4" w:space="0" w:color="006666"/>
              <w:right w:val="single" w:sz="4" w:space="0" w:color="006666"/>
            </w:tcBorders>
            <w:vAlign w:val="center"/>
          </w:tcPr>
          <w:p w14:paraId="3731460A" w14:textId="0F370174"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13</w:t>
            </w:r>
          </w:p>
        </w:tc>
        <w:tc>
          <w:tcPr>
            <w:tcW w:w="693" w:type="pct"/>
            <w:tcBorders>
              <w:top w:val="single" w:sz="4" w:space="0" w:color="006666"/>
              <w:left w:val="single" w:sz="4" w:space="0" w:color="006666"/>
              <w:bottom w:val="single" w:sz="4" w:space="0" w:color="006666"/>
              <w:right w:val="single" w:sz="4" w:space="0" w:color="006666"/>
            </w:tcBorders>
            <w:vAlign w:val="center"/>
          </w:tcPr>
          <w:p w14:paraId="0298C14E" w14:textId="3680B6ED" w:rsidR="000A0345" w:rsidRPr="00E12BA8" w:rsidRDefault="00747925" w:rsidP="003E6544">
            <w:pPr>
              <w:spacing w:before="0" w:after="0"/>
              <w:jc w:val="center"/>
              <w:rPr>
                <w:rFonts w:cs="Arial"/>
                <w:color w:val="000000"/>
                <w:sz w:val="22"/>
                <w:szCs w:val="22"/>
                <w:lang w:eastAsia="en-GB"/>
              </w:rPr>
            </w:pPr>
            <w:r>
              <w:rPr>
                <w:rFonts w:cs="Arial"/>
                <w:color w:val="000000"/>
                <w:sz w:val="22"/>
                <w:szCs w:val="22"/>
                <w:lang w:eastAsia="en-GB"/>
              </w:rPr>
              <w:t>Household survey</w:t>
            </w:r>
          </w:p>
        </w:tc>
        <w:tc>
          <w:tcPr>
            <w:tcW w:w="522" w:type="pct"/>
            <w:tcBorders>
              <w:top w:val="single" w:sz="4" w:space="0" w:color="006666"/>
              <w:left w:val="single" w:sz="4" w:space="0" w:color="006666"/>
              <w:bottom w:val="single" w:sz="4" w:space="0" w:color="006666"/>
              <w:right w:val="single" w:sz="4" w:space="0" w:color="006666"/>
            </w:tcBorders>
            <w:vAlign w:val="center"/>
          </w:tcPr>
          <w:p w14:paraId="625CFBE2" w14:textId="3C89A1A0"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13</w:t>
            </w:r>
          </w:p>
        </w:tc>
      </w:tr>
      <w:tr w:rsidR="00F40E2C" w:rsidRPr="00A11AC7" w14:paraId="018400A4" w14:textId="77777777" w:rsidTr="00747925">
        <w:trPr>
          <w:gridAfter w:val="1"/>
          <w:wAfter w:w="7" w:type="pct"/>
        </w:trPr>
        <w:tc>
          <w:tcPr>
            <w:tcW w:w="1056" w:type="pct"/>
            <w:tcBorders>
              <w:top w:val="single" w:sz="4" w:space="0" w:color="006666"/>
              <w:left w:val="single" w:sz="4" w:space="0" w:color="006666"/>
              <w:bottom w:val="single" w:sz="4" w:space="0" w:color="006666"/>
              <w:right w:val="single" w:sz="4" w:space="0" w:color="006666"/>
            </w:tcBorders>
            <w:vAlign w:val="center"/>
          </w:tcPr>
          <w:p w14:paraId="0FDCFAA4" w14:textId="6213E49E" w:rsidR="000A0345" w:rsidRPr="00A11AC7" w:rsidRDefault="000A0345" w:rsidP="003E6544">
            <w:pPr>
              <w:spacing w:before="0" w:after="0"/>
              <w:jc w:val="left"/>
              <w:rPr>
                <w:sz w:val="22"/>
                <w:szCs w:val="22"/>
              </w:rPr>
            </w:pPr>
            <w:r>
              <w:rPr>
                <w:sz w:val="22"/>
                <w:szCs w:val="22"/>
              </w:rPr>
              <w:t xml:space="preserve">Private </w:t>
            </w:r>
            <w:r w:rsidR="00717928">
              <w:rPr>
                <w:sz w:val="22"/>
                <w:szCs w:val="22"/>
              </w:rPr>
              <w:t>(permanent) authorised (other)</w:t>
            </w:r>
          </w:p>
        </w:tc>
        <w:tc>
          <w:tcPr>
            <w:tcW w:w="501" w:type="pct"/>
            <w:tcBorders>
              <w:top w:val="single" w:sz="4" w:space="0" w:color="006666"/>
              <w:left w:val="single" w:sz="4" w:space="0" w:color="006666"/>
              <w:bottom w:val="single" w:sz="4" w:space="0" w:color="006666"/>
              <w:right w:val="single" w:sz="4" w:space="0" w:color="006666"/>
            </w:tcBorders>
            <w:vAlign w:val="center"/>
          </w:tcPr>
          <w:p w14:paraId="2B8812E9" w14:textId="30366A26"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1</w:t>
            </w:r>
          </w:p>
        </w:tc>
        <w:tc>
          <w:tcPr>
            <w:tcW w:w="501" w:type="pct"/>
            <w:tcBorders>
              <w:top w:val="single" w:sz="4" w:space="0" w:color="006666"/>
              <w:left w:val="single" w:sz="4" w:space="0" w:color="006666"/>
              <w:bottom w:val="single" w:sz="4" w:space="0" w:color="006666"/>
              <w:right w:val="single" w:sz="4" w:space="0" w:color="006666"/>
            </w:tcBorders>
            <w:vAlign w:val="center"/>
          </w:tcPr>
          <w:p w14:paraId="1E4A4A5D" w14:textId="4035CFD8"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0</w:t>
            </w:r>
          </w:p>
        </w:tc>
        <w:tc>
          <w:tcPr>
            <w:tcW w:w="574" w:type="pct"/>
            <w:tcBorders>
              <w:top w:val="single" w:sz="4" w:space="0" w:color="006666"/>
              <w:left w:val="single" w:sz="4" w:space="0" w:color="006666"/>
              <w:bottom w:val="single" w:sz="4" w:space="0" w:color="006666"/>
              <w:right w:val="single" w:sz="4" w:space="0" w:color="006666"/>
            </w:tcBorders>
            <w:vAlign w:val="center"/>
          </w:tcPr>
          <w:p w14:paraId="2313A3D5" w14:textId="32930B19" w:rsidR="000A0345" w:rsidRPr="00E12BA8" w:rsidRDefault="00717928" w:rsidP="003E6544">
            <w:pPr>
              <w:spacing w:before="0" w:after="0"/>
              <w:jc w:val="center"/>
              <w:rPr>
                <w:sz w:val="22"/>
                <w:szCs w:val="22"/>
              </w:rPr>
            </w:pPr>
            <w:r>
              <w:rPr>
                <w:sz w:val="22"/>
                <w:szCs w:val="22"/>
              </w:rPr>
              <w:t>1</w:t>
            </w:r>
          </w:p>
        </w:tc>
        <w:tc>
          <w:tcPr>
            <w:tcW w:w="573" w:type="pct"/>
            <w:tcBorders>
              <w:top w:val="single" w:sz="4" w:space="0" w:color="006666"/>
              <w:left w:val="single" w:sz="4" w:space="0" w:color="006666"/>
              <w:bottom w:val="single" w:sz="4" w:space="0" w:color="006666"/>
              <w:right w:val="single" w:sz="4" w:space="0" w:color="006666"/>
            </w:tcBorders>
            <w:vAlign w:val="center"/>
          </w:tcPr>
          <w:p w14:paraId="4380F83F" w14:textId="4E1D8903"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1</w:t>
            </w:r>
          </w:p>
        </w:tc>
        <w:tc>
          <w:tcPr>
            <w:tcW w:w="573" w:type="pct"/>
            <w:tcBorders>
              <w:top w:val="single" w:sz="4" w:space="0" w:color="006666"/>
              <w:left w:val="single" w:sz="4" w:space="0" w:color="006666"/>
              <w:bottom w:val="single" w:sz="4" w:space="0" w:color="006666"/>
              <w:right w:val="single" w:sz="4" w:space="0" w:color="006666"/>
            </w:tcBorders>
            <w:vAlign w:val="center"/>
          </w:tcPr>
          <w:p w14:paraId="02702D0B" w14:textId="5E1E0424"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1</w:t>
            </w:r>
          </w:p>
        </w:tc>
        <w:tc>
          <w:tcPr>
            <w:tcW w:w="693" w:type="pct"/>
            <w:tcBorders>
              <w:top w:val="single" w:sz="4" w:space="0" w:color="006666"/>
              <w:left w:val="single" w:sz="4" w:space="0" w:color="006666"/>
              <w:bottom w:val="single" w:sz="4" w:space="0" w:color="006666"/>
              <w:right w:val="single" w:sz="4" w:space="0" w:color="006666"/>
            </w:tcBorders>
            <w:vAlign w:val="center"/>
          </w:tcPr>
          <w:p w14:paraId="6290ACF1" w14:textId="0CC18668" w:rsidR="000A0345" w:rsidRPr="00E12BA8" w:rsidRDefault="00747925" w:rsidP="003E6544">
            <w:pPr>
              <w:spacing w:before="0" w:after="0"/>
              <w:jc w:val="center"/>
              <w:rPr>
                <w:rFonts w:cs="Arial"/>
                <w:color w:val="000000"/>
                <w:sz w:val="22"/>
                <w:szCs w:val="22"/>
                <w:lang w:eastAsia="en-GB"/>
              </w:rPr>
            </w:pPr>
            <w:r>
              <w:rPr>
                <w:rFonts w:cs="Arial"/>
                <w:color w:val="000000"/>
                <w:sz w:val="22"/>
                <w:szCs w:val="22"/>
                <w:lang w:eastAsia="en-GB"/>
              </w:rPr>
              <w:t>Household survey</w:t>
            </w:r>
          </w:p>
        </w:tc>
        <w:tc>
          <w:tcPr>
            <w:tcW w:w="522" w:type="pct"/>
            <w:tcBorders>
              <w:top w:val="single" w:sz="4" w:space="0" w:color="006666"/>
              <w:left w:val="single" w:sz="4" w:space="0" w:color="006666"/>
              <w:bottom w:val="single" w:sz="4" w:space="0" w:color="006666"/>
              <w:right w:val="single" w:sz="4" w:space="0" w:color="006666"/>
            </w:tcBorders>
            <w:vAlign w:val="center"/>
          </w:tcPr>
          <w:p w14:paraId="45C068DF" w14:textId="4091C0EE"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1</w:t>
            </w:r>
          </w:p>
        </w:tc>
      </w:tr>
      <w:tr w:rsidR="00F40E2C" w:rsidRPr="00A11AC7" w14:paraId="7624E714" w14:textId="77777777" w:rsidTr="00747925">
        <w:trPr>
          <w:gridAfter w:val="1"/>
          <w:wAfter w:w="7" w:type="pct"/>
          <w:trHeight w:val="395"/>
        </w:trPr>
        <w:tc>
          <w:tcPr>
            <w:tcW w:w="1056" w:type="pct"/>
            <w:tcBorders>
              <w:top w:val="single" w:sz="4" w:space="0" w:color="006666"/>
              <w:left w:val="single" w:sz="4" w:space="0" w:color="006666"/>
              <w:bottom w:val="single" w:sz="4" w:space="0" w:color="006666"/>
              <w:right w:val="single" w:sz="4" w:space="0" w:color="006666"/>
            </w:tcBorders>
            <w:vAlign w:val="center"/>
          </w:tcPr>
          <w:p w14:paraId="6CB0752A" w14:textId="4D100C11" w:rsidR="000A0345" w:rsidRPr="005A7D99" w:rsidRDefault="000A0345" w:rsidP="003E6544">
            <w:pPr>
              <w:spacing w:before="0" w:after="0"/>
              <w:jc w:val="left"/>
              <w:rPr>
                <w:rFonts w:cs="Arial"/>
                <w:color w:val="000000"/>
                <w:sz w:val="22"/>
                <w:szCs w:val="22"/>
                <w:lang w:eastAsia="en-GB"/>
              </w:rPr>
            </w:pPr>
            <w:r w:rsidRPr="005A7D99">
              <w:rPr>
                <w:sz w:val="22"/>
                <w:szCs w:val="22"/>
              </w:rPr>
              <w:t>Unauthorised</w:t>
            </w:r>
            <w:r w:rsidR="00A22E1A">
              <w:rPr>
                <w:sz w:val="22"/>
                <w:szCs w:val="22"/>
              </w:rPr>
              <w:t xml:space="preserve"> </w:t>
            </w:r>
          </w:p>
        </w:tc>
        <w:tc>
          <w:tcPr>
            <w:tcW w:w="501" w:type="pct"/>
            <w:tcBorders>
              <w:top w:val="single" w:sz="4" w:space="0" w:color="006666"/>
              <w:left w:val="single" w:sz="4" w:space="0" w:color="006666"/>
              <w:bottom w:val="single" w:sz="4" w:space="0" w:color="006666"/>
              <w:right w:val="single" w:sz="4" w:space="0" w:color="006666"/>
            </w:tcBorders>
            <w:vAlign w:val="center"/>
          </w:tcPr>
          <w:p w14:paraId="488BB143" w14:textId="6EEA021F" w:rsidR="000A0345" w:rsidRPr="00E12BA8" w:rsidRDefault="00747925" w:rsidP="003E6544">
            <w:pPr>
              <w:spacing w:before="0" w:after="0"/>
              <w:jc w:val="center"/>
              <w:rPr>
                <w:rFonts w:cs="Arial"/>
                <w:color w:val="000000"/>
                <w:sz w:val="22"/>
                <w:szCs w:val="22"/>
                <w:lang w:eastAsia="en-GB"/>
              </w:rPr>
            </w:pPr>
            <w:r>
              <w:rPr>
                <w:rFonts w:cs="Arial"/>
                <w:color w:val="000000"/>
                <w:sz w:val="22"/>
                <w:szCs w:val="22"/>
                <w:lang w:eastAsia="en-GB"/>
              </w:rPr>
              <w:t>4</w:t>
            </w:r>
          </w:p>
        </w:tc>
        <w:tc>
          <w:tcPr>
            <w:tcW w:w="501" w:type="pct"/>
            <w:tcBorders>
              <w:top w:val="single" w:sz="4" w:space="0" w:color="006666"/>
              <w:left w:val="single" w:sz="4" w:space="0" w:color="006666"/>
              <w:bottom w:val="single" w:sz="4" w:space="0" w:color="006666"/>
              <w:right w:val="single" w:sz="4" w:space="0" w:color="006666"/>
            </w:tcBorders>
            <w:vAlign w:val="center"/>
          </w:tcPr>
          <w:p w14:paraId="321C2B7C" w14:textId="05FFC504"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0</w:t>
            </w:r>
          </w:p>
        </w:tc>
        <w:tc>
          <w:tcPr>
            <w:tcW w:w="574" w:type="pct"/>
            <w:tcBorders>
              <w:top w:val="single" w:sz="4" w:space="0" w:color="006666"/>
              <w:left w:val="single" w:sz="4" w:space="0" w:color="006666"/>
              <w:bottom w:val="single" w:sz="4" w:space="0" w:color="006666"/>
              <w:right w:val="single" w:sz="4" w:space="0" w:color="006666"/>
            </w:tcBorders>
            <w:vAlign w:val="center"/>
          </w:tcPr>
          <w:p w14:paraId="7DBD0D35" w14:textId="64442088" w:rsidR="000A0345" w:rsidRPr="00E12BA8" w:rsidRDefault="00747925" w:rsidP="003E6544">
            <w:pPr>
              <w:spacing w:before="0" w:after="0"/>
              <w:jc w:val="center"/>
              <w:rPr>
                <w:sz w:val="22"/>
                <w:szCs w:val="22"/>
              </w:rPr>
            </w:pPr>
            <w:r>
              <w:rPr>
                <w:sz w:val="22"/>
                <w:szCs w:val="22"/>
              </w:rPr>
              <w:t>4</w:t>
            </w:r>
          </w:p>
        </w:tc>
        <w:tc>
          <w:tcPr>
            <w:tcW w:w="573" w:type="pct"/>
            <w:tcBorders>
              <w:top w:val="single" w:sz="4" w:space="0" w:color="006666"/>
              <w:left w:val="single" w:sz="4" w:space="0" w:color="006666"/>
              <w:bottom w:val="single" w:sz="4" w:space="0" w:color="006666"/>
              <w:right w:val="single" w:sz="4" w:space="0" w:color="006666"/>
            </w:tcBorders>
            <w:vAlign w:val="center"/>
          </w:tcPr>
          <w:p w14:paraId="58B0B04D" w14:textId="4E8E3D71" w:rsidR="000A0345" w:rsidRPr="00E12BA8" w:rsidRDefault="00747925" w:rsidP="003E6544">
            <w:pPr>
              <w:spacing w:before="0" w:after="0"/>
              <w:jc w:val="center"/>
              <w:rPr>
                <w:rFonts w:cs="Arial"/>
                <w:color w:val="000000"/>
                <w:sz w:val="22"/>
                <w:szCs w:val="22"/>
                <w:lang w:eastAsia="en-GB"/>
              </w:rPr>
            </w:pPr>
            <w:r>
              <w:rPr>
                <w:rFonts w:cs="Arial"/>
                <w:color w:val="000000"/>
                <w:sz w:val="22"/>
                <w:szCs w:val="22"/>
                <w:lang w:eastAsia="en-GB"/>
              </w:rPr>
              <w:t>4</w:t>
            </w:r>
          </w:p>
        </w:tc>
        <w:tc>
          <w:tcPr>
            <w:tcW w:w="573" w:type="pct"/>
            <w:tcBorders>
              <w:top w:val="single" w:sz="4" w:space="0" w:color="006666"/>
              <w:left w:val="single" w:sz="4" w:space="0" w:color="006666"/>
              <w:bottom w:val="single" w:sz="4" w:space="0" w:color="006666"/>
              <w:right w:val="single" w:sz="4" w:space="0" w:color="006666"/>
            </w:tcBorders>
            <w:vAlign w:val="center"/>
          </w:tcPr>
          <w:p w14:paraId="610B0448" w14:textId="1C687632"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0</w:t>
            </w:r>
          </w:p>
        </w:tc>
        <w:tc>
          <w:tcPr>
            <w:tcW w:w="693" w:type="pct"/>
            <w:tcBorders>
              <w:top w:val="single" w:sz="4" w:space="0" w:color="006666"/>
              <w:left w:val="single" w:sz="4" w:space="0" w:color="006666"/>
              <w:bottom w:val="single" w:sz="4" w:space="0" w:color="006666"/>
              <w:right w:val="single" w:sz="4" w:space="0" w:color="006666"/>
            </w:tcBorders>
            <w:vAlign w:val="center"/>
          </w:tcPr>
          <w:p w14:paraId="47703182" w14:textId="61C630D2" w:rsidR="000A0345" w:rsidRPr="00E12BA8" w:rsidRDefault="00717928" w:rsidP="003E6544">
            <w:pPr>
              <w:spacing w:before="0" w:after="0"/>
              <w:jc w:val="center"/>
              <w:rPr>
                <w:rFonts w:cs="Arial"/>
                <w:color w:val="000000"/>
                <w:sz w:val="22"/>
                <w:szCs w:val="22"/>
                <w:lang w:eastAsia="en-GB"/>
              </w:rPr>
            </w:pPr>
            <w:r>
              <w:rPr>
                <w:rFonts w:cs="Arial"/>
                <w:color w:val="000000"/>
                <w:sz w:val="22"/>
                <w:szCs w:val="22"/>
                <w:lang w:eastAsia="en-GB"/>
              </w:rPr>
              <w:t>Planning data</w:t>
            </w:r>
          </w:p>
        </w:tc>
        <w:tc>
          <w:tcPr>
            <w:tcW w:w="522" w:type="pct"/>
            <w:tcBorders>
              <w:top w:val="single" w:sz="4" w:space="0" w:color="006666"/>
              <w:left w:val="single" w:sz="4" w:space="0" w:color="006666"/>
              <w:bottom w:val="single" w:sz="4" w:space="0" w:color="006666"/>
              <w:right w:val="single" w:sz="4" w:space="0" w:color="006666"/>
            </w:tcBorders>
            <w:vAlign w:val="center"/>
          </w:tcPr>
          <w:p w14:paraId="0D68522B" w14:textId="12A9FD8C" w:rsidR="000A0345" w:rsidRPr="00E12BA8" w:rsidRDefault="00747925" w:rsidP="003E6544">
            <w:pPr>
              <w:spacing w:before="0" w:after="0"/>
              <w:jc w:val="center"/>
              <w:rPr>
                <w:rFonts w:cs="Arial"/>
                <w:color w:val="000000"/>
                <w:sz w:val="22"/>
                <w:szCs w:val="22"/>
                <w:lang w:eastAsia="en-GB"/>
              </w:rPr>
            </w:pPr>
            <w:r>
              <w:rPr>
                <w:rFonts w:cs="Arial"/>
                <w:color w:val="000000"/>
                <w:sz w:val="22"/>
                <w:szCs w:val="22"/>
                <w:lang w:eastAsia="en-GB"/>
              </w:rPr>
              <w:t>4</w:t>
            </w:r>
          </w:p>
        </w:tc>
      </w:tr>
      <w:tr w:rsidR="00F40E2C" w:rsidRPr="00A11AC7" w14:paraId="587EC9BC" w14:textId="77777777" w:rsidTr="00747925">
        <w:trPr>
          <w:gridAfter w:val="1"/>
          <w:wAfter w:w="7" w:type="pct"/>
        </w:trPr>
        <w:tc>
          <w:tcPr>
            <w:tcW w:w="1056" w:type="pct"/>
            <w:tcBorders>
              <w:top w:val="single" w:sz="4" w:space="0" w:color="006666"/>
              <w:left w:val="single" w:sz="4" w:space="0" w:color="006666"/>
              <w:bottom w:val="single" w:sz="4" w:space="0" w:color="006666"/>
              <w:right w:val="single" w:sz="4" w:space="0" w:color="006666"/>
            </w:tcBorders>
            <w:vAlign w:val="center"/>
          </w:tcPr>
          <w:p w14:paraId="00C1D199" w14:textId="5030E7BF" w:rsidR="00F40E2C" w:rsidRPr="0082379E" w:rsidRDefault="00F40E2C" w:rsidP="003E6544">
            <w:pPr>
              <w:spacing w:before="0" w:after="0"/>
              <w:jc w:val="left"/>
              <w:rPr>
                <w:b/>
                <w:sz w:val="22"/>
                <w:szCs w:val="22"/>
              </w:rPr>
            </w:pPr>
            <w:r w:rsidRPr="0082379E">
              <w:rPr>
                <w:b/>
                <w:sz w:val="22"/>
                <w:szCs w:val="22"/>
              </w:rPr>
              <w:t>T</w:t>
            </w:r>
            <w:r>
              <w:rPr>
                <w:b/>
                <w:sz w:val="22"/>
                <w:szCs w:val="22"/>
              </w:rPr>
              <w:t xml:space="preserve">otal </w:t>
            </w:r>
            <w:r w:rsidR="00747925">
              <w:rPr>
                <w:b/>
                <w:sz w:val="22"/>
                <w:szCs w:val="22"/>
              </w:rPr>
              <w:t xml:space="preserve">on </w:t>
            </w:r>
            <w:r>
              <w:rPr>
                <w:b/>
                <w:sz w:val="22"/>
                <w:szCs w:val="22"/>
              </w:rPr>
              <w:t>Gypsy and Traveller</w:t>
            </w:r>
            <w:r w:rsidR="00747925">
              <w:rPr>
                <w:b/>
                <w:sz w:val="22"/>
                <w:szCs w:val="22"/>
              </w:rPr>
              <w:t xml:space="preserve"> pitches</w:t>
            </w:r>
          </w:p>
        </w:tc>
        <w:tc>
          <w:tcPr>
            <w:tcW w:w="501" w:type="pct"/>
            <w:tcBorders>
              <w:top w:val="single" w:sz="4" w:space="0" w:color="006666"/>
              <w:left w:val="single" w:sz="4" w:space="0" w:color="006666"/>
              <w:bottom w:val="single" w:sz="4" w:space="0" w:color="006666"/>
              <w:right w:val="single" w:sz="4" w:space="0" w:color="006666"/>
            </w:tcBorders>
            <w:vAlign w:val="center"/>
          </w:tcPr>
          <w:p w14:paraId="26927A47" w14:textId="6416859F" w:rsidR="00F40E2C" w:rsidRPr="00E12BA8" w:rsidRDefault="00717928" w:rsidP="003E6544">
            <w:pPr>
              <w:spacing w:before="0" w:after="0"/>
              <w:jc w:val="center"/>
              <w:rPr>
                <w:rFonts w:cs="Arial"/>
                <w:b/>
                <w:color w:val="000000"/>
                <w:sz w:val="22"/>
                <w:szCs w:val="22"/>
                <w:lang w:eastAsia="en-GB"/>
              </w:rPr>
            </w:pPr>
            <w:r>
              <w:rPr>
                <w:rFonts w:cs="Arial"/>
                <w:b/>
                <w:color w:val="000000"/>
                <w:sz w:val="22"/>
                <w:szCs w:val="22"/>
                <w:lang w:eastAsia="en-GB"/>
              </w:rPr>
              <w:t>3</w:t>
            </w:r>
            <w:r w:rsidR="00747925">
              <w:rPr>
                <w:rFonts w:cs="Arial"/>
                <w:b/>
                <w:color w:val="000000"/>
                <w:sz w:val="22"/>
                <w:szCs w:val="22"/>
                <w:lang w:eastAsia="en-GB"/>
              </w:rPr>
              <w:t>6</w:t>
            </w:r>
          </w:p>
        </w:tc>
        <w:tc>
          <w:tcPr>
            <w:tcW w:w="501" w:type="pct"/>
            <w:tcBorders>
              <w:top w:val="single" w:sz="4" w:space="0" w:color="006666"/>
              <w:left w:val="single" w:sz="4" w:space="0" w:color="006666"/>
              <w:bottom w:val="single" w:sz="4" w:space="0" w:color="006666"/>
              <w:right w:val="single" w:sz="4" w:space="0" w:color="006666"/>
            </w:tcBorders>
            <w:vAlign w:val="center"/>
          </w:tcPr>
          <w:p w14:paraId="5C69C943" w14:textId="2B3AB35D" w:rsidR="00F40E2C" w:rsidRPr="00E12BA8" w:rsidRDefault="00717928" w:rsidP="003E6544">
            <w:pPr>
              <w:spacing w:before="0" w:after="0"/>
              <w:jc w:val="center"/>
              <w:rPr>
                <w:rFonts w:cs="Arial"/>
                <w:b/>
                <w:color w:val="000000"/>
                <w:sz w:val="22"/>
                <w:szCs w:val="22"/>
                <w:lang w:eastAsia="en-GB"/>
              </w:rPr>
            </w:pPr>
            <w:r>
              <w:rPr>
                <w:rFonts w:cs="Arial"/>
                <w:b/>
                <w:color w:val="000000"/>
                <w:sz w:val="22"/>
                <w:szCs w:val="22"/>
                <w:lang w:eastAsia="en-GB"/>
              </w:rPr>
              <w:t>0</w:t>
            </w:r>
          </w:p>
        </w:tc>
        <w:tc>
          <w:tcPr>
            <w:tcW w:w="574" w:type="pct"/>
            <w:tcBorders>
              <w:top w:val="single" w:sz="4" w:space="0" w:color="006666"/>
              <w:left w:val="single" w:sz="4" w:space="0" w:color="006666"/>
              <w:bottom w:val="single" w:sz="4" w:space="0" w:color="006666"/>
              <w:right w:val="single" w:sz="4" w:space="0" w:color="006666"/>
            </w:tcBorders>
            <w:vAlign w:val="center"/>
          </w:tcPr>
          <w:p w14:paraId="615B0204" w14:textId="570AF84A" w:rsidR="00F40E2C" w:rsidRPr="00E12BA8" w:rsidRDefault="00717928" w:rsidP="003E6544">
            <w:pPr>
              <w:spacing w:before="0" w:after="0"/>
              <w:jc w:val="center"/>
              <w:rPr>
                <w:rFonts w:cs="Arial"/>
                <w:b/>
                <w:color w:val="000000"/>
                <w:sz w:val="22"/>
                <w:szCs w:val="22"/>
                <w:lang w:eastAsia="en-GB"/>
              </w:rPr>
            </w:pPr>
            <w:r>
              <w:rPr>
                <w:rFonts w:cs="Arial"/>
                <w:b/>
                <w:color w:val="000000"/>
                <w:sz w:val="22"/>
                <w:szCs w:val="22"/>
                <w:lang w:eastAsia="en-GB"/>
              </w:rPr>
              <w:t>3</w:t>
            </w:r>
            <w:r w:rsidR="00747925">
              <w:rPr>
                <w:rFonts w:cs="Arial"/>
                <w:b/>
                <w:color w:val="000000"/>
                <w:sz w:val="22"/>
                <w:szCs w:val="22"/>
                <w:lang w:eastAsia="en-GB"/>
              </w:rPr>
              <w:t>6</w:t>
            </w:r>
          </w:p>
        </w:tc>
        <w:tc>
          <w:tcPr>
            <w:tcW w:w="573" w:type="pct"/>
            <w:tcBorders>
              <w:top w:val="single" w:sz="4" w:space="0" w:color="006666"/>
              <w:left w:val="single" w:sz="4" w:space="0" w:color="006666"/>
              <w:bottom w:val="single" w:sz="4" w:space="0" w:color="006666"/>
              <w:right w:val="single" w:sz="4" w:space="0" w:color="006666"/>
            </w:tcBorders>
            <w:vAlign w:val="center"/>
          </w:tcPr>
          <w:p w14:paraId="7B69408C" w14:textId="56ACC5AE" w:rsidR="00F40E2C" w:rsidRPr="00E12BA8" w:rsidRDefault="00717928" w:rsidP="003E6544">
            <w:pPr>
              <w:spacing w:before="0" w:after="0"/>
              <w:jc w:val="center"/>
              <w:rPr>
                <w:rFonts w:cs="Arial"/>
                <w:b/>
                <w:color w:val="000000"/>
                <w:sz w:val="22"/>
                <w:szCs w:val="22"/>
                <w:lang w:eastAsia="en-GB"/>
              </w:rPr>
            </w:pPr>
            <w:r>
              <w:rPr>
                <w:rFonts w:cs="Arial"/>
                <w:b/>
                <w:color w:val="000000"/>
                <w:sz w:val="22"/>
                <w:szCs w:val="22"/>
                <w:lang w:eastAsia="en-GB"/>
              </w:rPr>
              <w:t>3</w:t>
            </w:r>
            <w:r w:rsidR="00747925">
              <w:rPr>
                <w:rFonts w:cs="Arial"/>
                <w:b/>
                <w:color w:val="000000"/>
                <w:sz w:val="22"/>
                <w:szCs w:val="22"/>
                <w:lang w:eastAsia="en-GB"/>
              </w:rPr>
              <w:t>6</w:t>
            </w:r>
          </w:p>
        </w:tc>
        <w:tc>
          <w:tcPr>
            <w:tcW w:w="573" w:type="pct"/>
            <w:tcBorders>
              <w:top w:val="single" w:sz="4" w:space="0" w:color="006666"/>
              <w:left w:val="single" w:sz="4" w:space="0" w:color="006666"/>
              <w:bottom w:val="single" w:sz="4" w:space="0" w:color="006666"/>
              <w:right w:val="single" w:sz="4" w:space="0" w:color="006666"/>
            </w:tcBorders>
            <w:vAlign w:val="center"/>
          </w:tcPr>
          <w:p w14:paraId="47A62001" w14:textId="2117A805" w:rsidR="00F40E2C" w:rsidRPr="00E12BA8" w:rsidRDefault="00717928" w:rsidP="003E6544">
            <w:pPr>
              <w:spacing w:before="0" w:after="0"/>
              <w:jc w:val="center"/>
              <w:rPr>
                <w:rFonts w:cs="Arial"/>
                <w:b/>
                <w:color w:val="000000"/>
                <w:sz w:val="22"/>
                <w:szCs w:val="22"/>
                <w:lang w:eastAsia="en-GB"/>
              </w:rPr>
            </w:pPr>
            <w:r>
              <w:rPr>
                <w:rFonts w:cs="Arial"/>
                <w:b/>
                <w:color w:val="000000"/>
                <w:sz w:val="22"/>
                <w:szCs w:val="22"/>
                <w:lang w:eastAsia="en-GB"/>
              </w:rPr>
              <w:t>21</w:t>
            </w:r>
          </w:p>
        </w:tc>
        <w:tc>
          <w:tcPr>
            <w:tcW w:w="693" w:type="pct"/>
            <w:tcBorders>
              <w:top w:val="single" w:sz="4" w:space="0" w:color="006666"/>
              <w:left w:val="single" w:sz="4" w:space="0" w:color="006666"/>
              <w:bottom w:val="single" w:sz="4" w:space="0" w:color="006666"/>
              <w:right w:val="single" w:sz="4" w:space="0" w:color="006666"/>
            </w:tcBorders>
            <w:vAlign w:val="center"/>
          </w:tcPr>
          <w:p w14:paraId="3D311207" w14:textId="2DC73AA2" w:rsidR="00F40E2C" w:rsidRPr="00E12BA8" w:rsidRDefault="00F40E2C" w:rsidP="003E6544">
            <w:pPr>
              <w:spacing w:before="0" w:after="0"/>
              <w:jc w:val="center"/>
              <w:rPr>
                <w:rFonts w:cs="Arial"/>
                <w:b/>
                <w:color w:val="000000"/>
                <w:sz w:val="22"/>
                <w:szCs w:val="22"/>
                <w:lang w:eastAsia="en-GB"/>
              </w:rPr>
            </w:pPr>
          </w:p>
        </w:tc>
        <w:tc>
          <w:tcPr>
            <w:tcW w:w="522" w:type="pct"/>
            <w:tcBorders>
              <w:top w:val="single" w:sz="4" w:space="0" w:color="006666"/>
              <w:left w:val="single" w:sz="4" w:space="0" w:color="006666"/>
              <w:bottom w:val="single" w:sz="4" w:space="0" w:color="006666"/>
              <w:right w:val="single" w:sz="4" w:space="0" w:color="006666"/>
            </w:tcBorders>
            <w:vAlign w:val="center"/>
          </w:tcPr>
          <w:p w14:paraId="0FDE26AF" w14:textId="41BF0D8F" w:rsidR="00F40E2C" w:rsidRPr="00E12BA8" w:rsidRDefault="00747925" w:rsidP="003E6544">
            <w:pPr>
              <w:spacing w:before="0" w:after="0"/>
              <w:jc w:val="center"/>
              <w:rPr>
                <w:rFonts w:cs="Arial"/>
                <w:b/>
                <w:color w:val="000000"/>
                <w:sz w:val="22"/>
                <w:szCs w:val="22"/>
                <w:lang w:eastAsia="en-GB"/>
              </w:rPr>
            </w:pPr>
            <w:r>
              <w:rPr>
                <w:rFonts w:cs="Arial"/>
                <w:b/>
                <w:color w:val="000000"/>
                <w:sz w:val="22"/>
                <w:szCs w:val="22"/>
                <w:lang w:eastAsia="en-GB"/>
              </w:rPr>
              <w:t>25</w:t>
            </w:r>
          </w:p>
        </w:tc>
      </w:tr>
      <w:tr w:rsidR="00747925" w:rsidRPr="00A11AC7" w14:paraId="62E7D5E1" w14:textId="77777777" w:rsidTr="00747925">
        <w:trPr>
          <w:gridAfter w:val="1"/>
          <w:wAfter w:w="7" w:type="pct"/>
        </w:trPr>
        <w:tc>
          <w:tcPr>
            <w:tcW w:w="1056" w:type="pct"/>
            <w:tcBorders>
              <w:top w:val="single" w:sz="4" w:space="0" w:color="006666"/>
              <w:left w:val="single" w:sz="4" w:space="0" w:color="006666"/>
              <w:bottom w:val="single" w:sz="4" w:space="0" w:color="006666"/>
              <w:right w:val="single" w:sz="4" w:space="0" w:color="006666"/>
            </w:tcBorders>
            <w:vAlign w:val="center"/>
          </w:tcPr>
          <w:p w14:paraId="380C1CAD" w14:textId="3FEE7F6E" w:rsidR="00747925" w:rsidRPr="0082379E" w:rsidRDefault="00747925" w:rsidP="00747925">
            <w:pPr>
              <w:spacing w:before="0" w:after="0"/>
              <w:jc w:val="left"/>
              <w:rPr>
                <w:b/>
                <w:sz w:val="22"/>
                <w:szCs w:val="22"/>
              </w:rPr>
            </w:pPr>
            <w:r>
              <w:rPr>
                <w:sz w:val="22"/>
                <w:szCs w:val="22"/>
              </w:rPr>
              <w:t>Households in bricks and mortar wanting to return to the Council Site</w:t>
            </w:r>
          </w:p>
        </w:tc>
        <w:tc>
          <w:tcPr>
            <w:tcW w:w="501" w:type="pct"/>
            <w:tcBorders>
              <w:top w:val="single" w:sz="4" w:space="0" w:color="006666"/>
              <w:left w:val="single" w:sz="4" w:space="0" w:color="006666"/>
              <w:bottom w:val="single" w:sz="4" w:space="0" w:color="006666"/>
              <w:right w:val="single" w:sz="4" w:space="0" w:color="006666"/>
            </w:tcBorders>
            <w:vAlign w:val="center"/>
          </w:tcPr>
          <w:p w14:paraId="43B4DF0E" w14:textId="77777777" w:rsidR="00747925" w:rsidRDefault="00747925" w:rsidP="00747925">
            <w:pPr>
              <w:spacing w:before="0" w:after="0"/>
              <w:jc w:val="center"/>
              <w:rPr>
                <w:rFonts w:cs="Arial"/>
                <w:b/>
                <w:color w:val="000000"/>
                <w:sz w:val="22"/>
                <w:szCs w:val="22"/>
                <w:lang w:eastAsia="en-GB"/>
              </w:rPr>
            </w:pPr>
          </w:p>
        </w:tc>
        <w:tc>
          <w:tcPr>
            <w:tcW w:w="501" w:type="pct"/>
            <w:tcBorders>
              <w:top w:val="single" w:sz="4" w:space="0" w:color="006666"/>
              <w:left w:val="single" w:sz="4" w:space="0" w:color="006666"/>
              <w:bottom w:val="single" w:sz="4" w:space="0" w:color="006666"/>
              <w:right w:val="single" w:sz="4" w:space="0" w:color="006666"/>
            </w:tcBorders>
            <w:vAlign w:val="center"/>
          </w:tcPr>
          <w:p w14:paraId="0CDDFD7F" w14:textId="77777777" w:rsidR="00747925" w:rsidRDefault="00747925" w:rsidP="00747925">
            <w:pPr>
              <w:spacing w:before="0" w:after="0"/>
              <w:jc w:val="center"/>
              <w:rPr>
                <w:rFonts w:cs="Arial"/>
                <w:b/>
                <w:color w:val="000000"/>
                <w:sz w:val="22"/>
                <w:szCs w:val="22"/>
                <w:lang w:eastAsia="en-GB"/>
              </w:rPr>
            </w:pPr>
          </w:p>
        </w:tc>
        <w:tc>
          <w:tcPr>
            <w:tcW w:w="574" w:type="pct"/>
            <w:tcBorders>
              <w:top w:val="single" w:sz="4" w:space="0" w:color="006666"/>
              <w:left w:val="single" w:sz="4" w:space="0" w:color="006666"/>
              <w:bottom w:val="single" w:sz="4" w:space="0" w:color="006666"/>
              <w:right w:val="single" w:sz="4" w:space="0" w:color="006666"/>
            </w:tcBorders>
            <w:vAlign w:val="center"/>
          </w:tcPr>
          <w:p w14:paraId="3B52A9B5" w14:textId="77777777" w:rsidR="00747925" w:rsidRDefault="00747925" w:rsidP="00747925">
            <w:pPr>
              <w:spacing w:before="0" w:after="0"/>
              <w:jc w:val="center"/>
              <w:rPr>
                <w:rFonts w:cs="Arial"/>
                <w:b/>
                <w:color w:val="000000"/>
                <w:sz w:val="22"/>
                <w:szCs w:val="22"/>
                <w:lang w:eastAsia="en-GB"/>
              </w:rPr>
            </w:pPr>
          </w:p>
        </w:tc>
        <w:tc>
          <w:tcPr>
            <w:tcW w:w="573" w:type="pct"/>
            <w:tcBorders>
              <w:top w:val="single" w:sz="4" w:space="0" w:color="006666"/>
              <w:left w:val="single" w:sz="4" w:space="0" w:color="006666"/>
              <w:bottom w:val="single" w:sz="4" w:space="0" w:color="006666"/>
              <w:right w:val="single" w:sz="4" w:space="0" w:color="006666"/>
            </w:tcBorders>
            <w:vAlign w:val="center"/>
          </w:tcPr>
          <w:p w14:paraId="6D4563E9" w14:textId="77777777" w:rsidR="00747925" w:rsidRDefault="00747925" w:rsidP="00747925">
            <w:pPr>
              <w:spacing w:before="0" w:after="0"/>
              <w:jc w:val="center"/>
              <w:rPr>
                <w:rFonts w:cs="Arial"/>
                <w:b/>
                <w:color w:val="000000"/>
                <w:sz w:val="22"/>
                <w:szCs w:val="22"/>
                <w:lang w:eastAsia="en-GB"/>
              </w:rPr>
            </w:pPr>
          </w:p>
        </w:tc>
        <w:tc>
          <w:tcPr>
            <w:tcW w:w="573" w:type="pct"/>
            <w:tcBorders>
              <w:top w:val="single" w:sz="4" w:space="0" w:color="006666"/>
              <w:left w:val="single" w:sz="4" w:space="0" w:color="006666"/>
              <w:bottom w:val="single" w:sz="4" w:space="0" w:color="006666"/>
              <w:right w:val="single" w:sz="4" w:space="0" w:color="006666"/>
            </w:tcBorders>
            <w:vAlign w:val="center"/>
          </w:tcPr>
          <w:p w14:paraId="1A16D5B6" w14:textId="77777777" w:rsidR="00747925" w:rsidRDefault="00747925" w:rsidP="00747925">
            <w:pPr>
              <w:spacing w:before="0" w:after="0"/>
              <w:jc w:val="center"/>
              <w:rPr>
                <w:rFonts w:cs="Arial"/>
                <w:b/>
                <w:color w:val="000000"/>
                <w:sz w:val="22"/>
                <w:szCs w:val="22"/>
                <w:lang w:eastAsia="en-GB"/>
              </w:rPr>
            </w:pPr>
          </w:p>
        </w:tc>
        <w:tc>
          <w:tcPr>
            <w:tcW w:w="693" w:type="pct"/>
            <w:tcBorders>
              <w:top w:val="single" w:sz="4" w:space="0" w:color="006666"/>
              <w:left w:val="single" w:sz="4" w:space="0" w:color="006666"/>
              <w:bottom w:val="single" w:sz="4" w:space="0" w:color="006666"/>
              <w:right w:val="single" w:sz="4" w:space="0" w:color="006666"/>
            </w:tcBorders>
            <w:vAlign w:val="center"/>
          </w:tcPr>
          <w:p w14:paraId="79116887" w14:textId="3EBBB1CC" w:rsidR="00747925" w:rsidRPr="00E12BA8" w:rsidRDefault="00747925" w:rsidP="00747925">
            <w:pPr>
              <w:spacing w:before="0" w:after="0"/>
              <w:jc w:val="center"/>
              <w:rPr>
                <w:rFonts w:cs="Arial"/>
                <w:b/>
                <w:color w:val="000000"/>
                <w:sz w:val="22"/>
                <w:szCs w:val="22"/>
                <w:lang w:eastAsia="en-GB"/>
              </w:rPr>
            </w:pPr>
            <w:r>
              <w:rPr>
                <w:rFonts w:cs="Arial"/>
                <w:color w:val="000000"/>
                <w:sz w:val="22"/>
                <w:szCs w:val="22"/>
                <w:lang w:eastAsia="en-GB"/>
              </w:rPr>
              <w:t>Household survey (from discussions with site residents)</w:t>
            </w:r>
          </w:p>
        </w:tc>
        <w:tc>
          <w:tcPr>
            <w:tcW w:w="522" w:type="pct"/>
            <w:tcBorders>
              <w:top w:val="single" w:sz="4" w:space="0" w:color="006666"/>
              <w:left w:val="single" w:sz="4" w:space="0" w:color="006666"/>
              <w:bottom w:val="single" w:sz="4" w:space="0" w:color="006666"/>
              <w:right w:val="single" w:sz="4" w:space="0" w:color="006666"/>
            </w:tcBorders>
            <w:vAlign w:val="center"/>
          </w:tcPr>
          <w:p w14:paraId="2BE3F2D6" w14:textId="41A0BDD2" w:rsidR="00747925" w:rsidRPr="00E12BA8" w:rsidRDefault="00747925" w:rsidP="00747925">
            <w:pPr>
              <w:spacing w:before="0" w:after="0"/>
              <w:jc w:val="center"/>
              <w:rPr>
                <w:rFonts w:cs="Arial"/>
                <w:b/>
                <w:color w:val="000000"/>
                <w:sz w:val="22"/>
                <w:szCs w:val="22"/>
                <w:lang w:eastAsia="en-GB"/>
              </w:rPr>
            </w:pPr>
            <w:r>
              <w:rPr>
                <w:rFonts w:cs="Arial"/>
                <w:color w:val="000000"/>
                <w:sz w:val="22"/>
                <w:szCs w:val="22"/>
                <w:lang w:eastAsia="en-GB"/>
              </w:rPr>
              <w:t>4</w:t>
            </w:r>
          </w:p>
        </w:tc>
      </w:tr>
    </w:tbl>
    <w:p w14:paraId="14815C50" w14:textId="77777777" w:rsidR="00C75DFB" w:rsidRPr="00E12BA8" w:rsidRDefault="00C75DFB" w:rsidP="003E6544">
      <w:pPr>
        <w:pStyle w:val="Reporttext"/>
        <w:numPr>
          <w:ilvl w:val="0"/>
          <w:numId w:val="0"/>
        </w:numPr>
        <w:ind w:left="709"/>
      </w:pPr>
    </w:p>
    <w:p w14:paraId="520430B9" w14:textId="2629E665" w:rsidR="00F40E2C" w:rsidRPr="0014458C" w:rsidRDefault="00F40E2C" w:rsidP="0014458C">
      <w:pPr>
        <w:pStyle w:val="Reporttext"/>
        <w:rPr>
          <w:rFonts w:cs="Arial"/>
        </w:rPr>
      </w:pPr>
      <w:r w:rsidRPr="00717928">
        <w:t xml:space="preserve">The 2011 Census estimates there are </w:t>
      </w:r>
      <w:r w:rsidR="00717928" w:rsidRPr="00717928">
        <w:t>63</w:t>
      </w:r>
      <w:r w:rsidRPr="00717928">
        <w:t xml:space="preserve"> Gypsies and Traveller households currently living across </w:t>
      </w:r>
      <w:r w:rsidR="00EE6DA0" w:rsidRPr="00717928">
        <w:t>West Berkshire</w:t>
      </w:r>
      <w:r w:rsidRPr="00717928">
        <w:t xml:space="preserve">, of whom </w:t>
      </w:r>
      <w:r w:rsidR="00717928" w:rsidRPr="00717928">
        <w:t>44</w:t>
      </w:r>
      <w:r w:rsidRPr="00717928">
        <w:t xml:space="preserve"> households live in bricks and mortar accommodation. Despite a number of different approaches (including </w:t>
      </w:r>
      <w:r w:rsidR="00717928" w:rsidRPr="00717928">
        <w:t>attempts to identify relevant officers in the Council)</w:t>
      </w:r>
      <w:r w:rsidRPr="00717928">
        <w:t xml:space="preserve"> no interviews were achieved with Gypsies and Travellers and Travelling Showpeople living in bricks and mortar accommodation. Instead, the 2011 Census data has been used along with some statistical assumptions regarding the typical proportion of need arising from bricks and mortar households (based on other arc</w:t>
      </w:r>
      <w:r w:rsidRPr="0014458C">
        <w:rPr>
          <w:vertAlign w:val="superscript"/>
        </w:rPr>
        <w:t>4</w:t>
      </w:r>
      <w:r w:rsidRPr="00717928">
        <w:t xml:space="preserve"> studies) </w:t>
      </w:r>
      <w:r w:rsidR="00C73BC5" w:rsidRPr="00717928">
        <w:t>(see Chapter 5</w:t>
      </w:r>
      <w:r w:rsidRPr="00717928">
        <w:t xml:space="preserve">). </w:t>
      </w:r>
    </w:p>
    <w:p w14:paraId="1B5A923A" w14:textId="539AC92A" w:rsidR="007A6B45" w:rsidRPr="00E12BA8" w:rsidRDefault="007A6B45" w:rsidP="0014458C">
      <w:pPr>
        <w:pStyle w:val="Reporttext"/>
      </w:pPr>
      <w:r w:rsidRPr="00E12BA8">
        <w:t>arc</w:t>
      </w:r>
      <w:r w:rsidRPr="0014458C">
        <w:rPr>
          <w:vertAlign w:val="superscript"/>
        </w:rPr>
        <w:t>4</w:t>
      </w:r>
      <w:r w:rsidRPr="00E12BA8">
        <w:t>’s methodology includes analysing the household survey findings to determine the self-defined travelling practices of each interviewed household. This includes answers to questions of travelling history (current and year preceding); reasons for travel; travel plans (current year and the next five years); annual duration of travel (recent and planned); destinations and reasons for travel; and reasons for not travelling (now and in the future). By translating this assessment of each household’s ‘PPTS-compliance’ into a proportion of the population in question, it can be determined what percentage of households fall within the ‘PPTS</w:t>
      </w:r>
      <w:r w:rsidR="004F0014" w:rsidRPr="00E12BA8">
        <w:t xml:space="preserve"> 2015</w:t>
      </w:r>
      <w:r w:rsidRPr="00E12BA8">
        <w:t>’ definition. By contrast, all households identifying as part of the Gypsy and Traveller or Travelling Showpeople community a</w:t>
      </w:r>
      <w:r w:rsidR="004F0014" w:rsidRPr="00E12BA8">
        <w:t>re contained within a broader ‘c</w:t>
      </w:r>
      <w:r w:rsidRPr="00E12BA8">
        <w:t>ultural’ definition</w:t>
      </w:r>
      <w:r w:rsidR="00C73BC5">
        <w:t>.</w:t>
      </w:r>
    </w:p>
    <w:p w14:paraId="2CEB906C" w14:textId="5E6C30A6" w:rsidR="005D7E7C" w:rsidRPr="003E6544" w:rsidRDefault="007525B2" w:rsidP="0014458C">
      <w:pPr>
        <w:pStyle w:val="Reporttext"/>
      </w:pPr>
      <w:r w:rsidRPr="003E6544">
        <w:t>Analysis of the h</w:t>
      </w:r>
      <w:r w:rsidR="004A57B2" w:rsidRPr="003E6544">
        <w:t>ousehold survey data establishes</w:t>
      </w:r>
      <w:r w:rsidRPr="003E6544">
        <w:t xml:space="preserve"> that </w:t>
      </w:r>
      <w:r w:rsidR="002D6298" w:rsidRPr="003E6544">
        <w:t>85.7</w:t>
      </w:r>
      <w:r w:rsidR="007F6F0A" w:rsidRPr="003E6544">
        <w:t>%</w:t>
      </w:r>
      <w:r w:rsidRPr="003E6544">
        <w:t xml:space="preserve"> of respondent households </w:t>
      </w:r>
      <w:r w:rsidR="00394D5C" w:rsidRPr="003E6544">
        <w:t>living on</w:t>
      </w:r>
      <w:r w:rsidRPr="003E6544">
        <w:t xml:space="preserve"> Gypsy and Traveller </w:t>
      </w:r>
      <w:r w:rsidR="00394D5C" w:rsidRPr="003E6544">
        <w:t xml:space="preserve">pitches across </w:t>
      </w:r>
      <w:r w:rsidR="00EE6DA0" w:rsidRPr="003E6544">
        <w:t>West Berkshire</w:t>
      </w:r>
      <w:r w:rsidR="00394D5C" w:rsidRPr="003E6544">
        <w:t xml:space="preserve"> </w:t>
      </w:r>
      <w:r w:rsidR="00473EAA" w:rsidRPr="003E6544">
        <w:t>District</w:t>
      </w:r>
      <w:r w:rsidRPr="003E6544">
        <w:t xml:space="preserve"> </w:t>
      </w:r>
      <w:r w:rsidR="00C95D24" w:rsidRPr="003E6544">
        <w:t xml:space="preserve">meet the </w:t>
      </w:r>
      <w:r w:rsidRPr="003E6544">
        <w:t xml:space="preserve">PPTS </w:t>
      </w:r>
      <w:r w:rsidR="007741DF" w:rsidRPr="003E6544">
        <w:t xml:space="preserve">2015 </w:t>
      </w:r>
      <w:r w:rsidRPr="003E6544">
        <w:t xml:space="preserve">definition of </w:t>
      </w:r>
      <w:r w:rsidR="00394D5C" w:rsidRPr="003E6544">
        <w:t>Gypsies and Trav</w:t>
      </w:r>
      <w:r w:rsidR="004F0014" w:rsidRPr="003E6544">
        <w:t>e</w:t>
      </w:r>
      <w:r w:rsidR="00394D5C" w:rsidRPr="003E6544">
        <w:t>llers</w:t>
      </w:r>
      <w:r w:rsidRPr="003E6544">
        <w:t xml:space="preserve">. </w:t>
      </w:r>
      <w:r w:rsidR="005D7E7C" w:rsidRPr="003E6544">
        <w:t>These households meet the definition by either travelling in the preceding year or within the past 5 years and/or intend to travel in the next year or in any year in the next five years.</w:t>
      </w:r>
    </w:p>
    <w:p w14:paraId="011D7911" w14:textId="77777777" w:rsidR="007525B2" w:rsidRDefault="007525B2" w:rsidP="007525B2">
      <w:pPr>
        <w:tabs>
          <w:tab w:val="left" w:pos="709"/>
        </w:tabs>
      </w:pPr>
    </w:p>
    <w:p w14:paraId="62BA219E" w14:textId="46DB0352" w:rsidR="007525B2" w:rsidRDefault="009C1C62" w:rsidP="007525B2">
      <w:pPr>
        <w:pStyle w:val="Heading2"/>
      </w:pPr>
      <w:bookmarkStart w:id="97" w:name="_Toc457575042"/>
      <w:bookmarkStart w:id="98" w:name="_Toc459646231"/>
      <w:bookmarkStart w:id="99" w:name="_Toc477256932"/>
      <w:bookmarkStart w:id="100" w:name="_Toc485383232"/>
      <w:bookmarkStart w:id="101" w:name="_Toc510091960"/>
      <w:bookmarkStart w:id="102" w:name="_Toc13845472"/>
      <w:r>
        <w:t>Phase 3</w:t>
      </w:r>
      <w:r w:rsidR="00534A21">
        <w:t xml:space="preserve">: </w:t>
      </w:r>
      <w:r w:rsidR="00F03B23">
        <w:t>Needs assessment and p</w:t>
      </w:r>
      <w:r w:rsidR="007525B2">
        <w:t>roduction of report</w:t>
      </w:r>
      <w:bookmarkEnd w:id="97"/>
      <w:bookmarkEnd w:id="98"/>
      <w:bookmarkEnd w:id="99"/>
      <w:bookmarkEnd w:id="100"/>
      <w:bookmarkEnd w:id="101"/>
      <w:bookmarkEnd w:id="102"/>
    </w:p>
    <w:p w14:paraId="48FD75B3" w14:textId="68C7491D" w:rsidR="006E7EAB" w:rsidRDefault="007525B2" w:rsidP="0014458C">
      <w:pPr>
        <w:pStyle w:val="Reporttext"/>
      </w:pPr>
      <w:r>
        <w:t xml:space="preserve">The assessment of pitch requirements has been calculated by utilising information on current supply of pitches </w:t>
      </w:r>
      <w:r w:rsidRPr="00343344">
        <w:t xml:space="preserve">and the results from the survey. The overall number of pitches has been calculated using </w:t>
      </w:r>
      <w:r w:rsidR="006E7EAB">
        <w:t>local authority and fieldwork survey</w:t>
      </w:r>
      <w:r w:rsidRPr="00343344">
        <w:t xml:space="preserve"> information, with likely capa</w:t>
      </w:r>
      <w:r w:rsidR="005B28FC">
        <w:t>city</w:t>
      </w:r>
      <w:r w:rsidRPr="00343344">
        <w:t xml:space="preserve"> through turnover assessed through the </w:t>
      </w:r>
      <w:r w:rsidR="006E7EAB">
        <w:t xml:space="preserve">household </w:t>
      </w:r>
      <w:r w:rsidRPr="00343344">
        <w:t>survey</w:t>
      </w:r>
      <w:r w:rsidR="006E7EAB">
        <w:t xml:space="preserve"> and discussions with those who manage the council-owned sites</w:t>
      </w:r>
      <w:r w:rsidRPr="00343344">
        <w:t xml:space="preserve">. </w:t>
      </w:r>
    </w:p>
    <w:p w14:paraId="7269ED9A" w14:textId="70302387" w:rsidR="007525B2" w:rsidRPr="00752139" w:rsidRDefault="007525B2" w:rsidP="0014458C">
      <w:pPr>
        <w:pStyle w:val="Reporttext"/>
      </w:pPr>
      <w:r w:rsidRPr="00343344">
        <w:t>A detailed explanation of the analysis of pitch requir</w:t>
      </w:r>
      <w:r w:rsidR="00C75DFB">
        <w:t xml:space="preserve">ements is </w:t>
      </w:r>
      <w:r w:rsidR="00C75DFB" w:rsidRPr="002D6298">
        <w:t>contained in Chapter 5</w:t>
      </w:r>
      <w:r w:rsidRPr="00343344">
        <w:t xml:space="preserve"> but briefly comprises analysis of the following elements:</w:t>
      </w:r>
      <w:r w:rsidRPr="00752139">
        <w:t xml:space="preserve"> </w:t>
      </w:r>
    </w:p>
    <w:p w14:paraId="64CD2FFE" w14:textId="01CFEB48" w:rsidR="007525B2" w:rsidRDefault="007525B2" w:rsidP="007525B2">
      <w:pPr>
        <w:numPr>
          <w:ilvl w:val="0"/>
          <w:numId w:val="9"/>
        </w:numPr>
      </w:pPr>
      <w:r>
        <w:t xml:space="preserve">Current pitch provision, households living in bricks and mortar accommodation; households planning to move in the next </w:t>
      </w:r>
      <w:r w:rsidR="005573AD">
        <w:t>five</w:t>
      </w:r>
      <w:r>
        <w:t xml:space="preserve"> years, </w:t>
      </w:r>
      <w:r w:rsidR="00C75DFB">
        <w:t xml:space="preserve">in-migration </w:t>
      </w:r>
      <w:r>
        <w:t>and emerging households to give total demand for pitches; and</w:t>
      </w:r>
    </w:p>
    <w:p w14:paraId="2EB717A3" w14:textId="77777777" w:rsidR="007525B2" w:rsidRDefault="007525B2" w:rsidP="007525B2">
      <w:pPr>
        <w:numPr>
          <w:ilvl w:val="0"/>
          <w:numId w:val="9"/>
        </w:numPr>
      </w:pPr>
      <w:r>
        <w:t>Turnover on existing pitches and total supply.</w:t>
      </w:r>
    </w:p>
    <w:p w14:paraId="4112A56D" w14:textId="77777777" w:rsidR="007525B2" w:rsidRDefault="007525B2" w:rsidP="0014458C">
      <w:pPr>
        <w:pStyle w:val="Reporttext"/>
      </w:pPr>
      <w:r>
        <w:t xml:space="preserve">The approach used then reconciles the demand and supply data to identify overall pitch requirements. </w:t>
      </w:r>
    </w:p>
    <w:p w14:paraId="03611EF1" w14:textId="30DF6EF0" w:rsidR="007525B2" w:rsidRPr="00397F0A" w:rsidRDefault="007525B2" w:rsidP="0014458C">
      <w:pPr>
        <w:pStyle w:val="Reporttext"/>
      </w:pPr>
      <w:r w:rsidRPr="00397F0A">
        <w:t>To identify any need for transit provision, findings from the household survey have been analysed alongside other contextual information</w:t>
      </w:r>
      <w:r w:rsidR="004F0014">
        <w:t xml:space="preserve"> including records of unauthorised encampments</w:t>
      </w:r>
      <w:r w:rsidRPr="00397F0A">
        <w:t xml:space="preserve">. </w:t>
      </w:r>
    </w:p>
    <w:p w14:paraId="3FECBCF2" w14:textId="77777777" w:rsidR="007525B2" w:rsidRDefault="007525B2" w:rsidP="007525B2">
      <w:bookmarkStart w:id="103" w:name="_Toc457575043"/>
    </w:p>
    <w:p w14:paraId="78196EFF" w14:textId="77777777" w:rsidR="007525B2" w:rsidRDefault="007525B2" w:rsidP="00F03B23">
      <w:pPr>
        <w:pStyle w:val="Heading3"/>
        <w:rPr>
          <w:lang w:val="en-US"/>
        </w:rPr>
      </w:pPr>
      <w:bookmarkStart w:id="104" w:name="_Toc459646232"/>
      <w:bookmarkStart w:id="105" w:name="_Toc477256933"/>
      <w:bookmarkStart w:id="106" w:name="_Toc485383233"/>
      <w:r>
        <w:rPr>
          <w:lang w:val="en-US"/>
        </w:rPr>
        <w:t>Pitches and households</w:t>
      </w:r>
      <w:bookmarkEnd w:id="104"/>
      <w:bookmarkEnd w:id="105"/>
      <w:bookmarkEnd w:id="106"/>
    </w:p>
    <w:p w14:paraId="02C419BD" w14:textId="77777777" w:rsidR="007525B2" w:rsidRPr="00752139" w:rsidRDefault="007525B2" w:rsidP="0014458C">
      <w:pPr>
        <w:pStyle w:val="Reporttext"/>
      </w:pPr>
      <w:r w:rsidRPr="00752139">
        <w:t xml:space="preserve">One of the key challenges faced </w:t>
      </w:r>
      <w:r>
        <w:t>when</w:t>
      </w:r>
      <w:r w:rsidRPr="00752139">
        <w:t xml:space="preserve"> assessing Gypsy and Traveller </w:t>
      </w:r>
      <w:bookmarkEnd w:id="103"/>
      <w:r w:rsidRPr="00752139">
        <w:t>pitch requirements is the actual nature of pitches and how this relates to the number of households they can support.</w:t>
      </w:r>
    </w:p>
    <w:p w14:paraId="381C06C2" w14:textId="1428492E" w:rsidR="007525B2" w:rsidRPr="00752139" w:rsidRDefault="007525B2" w:rsidP="0014458C">
      <w:pPr>
        <w:pStyle w:val="Reporttext"/>
      </w:pPr>
      <w:r w:rsidRPr="00752139">
        <w:t xml:space="preserve">PPTS </w:t>
      </w:r>
      <w:r w:rsidR="00170340">
        <w:t>2015</w:t>
      </w:r>
      <w:r w:rsidRPr="00752139">
        <w:t xml:space="preserve"> refers to the need for Local Planning Authorities to </w:t>
      </w:r>
      <w:r>
        <w:t>‘</w:t>
      </w:r>
      <w:r w:rsidRPr="004849D0">
        <w:t xml:space="preserve">identify and update annually, a supply of specific deliverable </w:t>
      </w:r>
      <w:r w:rsidRPr="0014458C">
        <w:rPr>
          <w:u w:val="single"/>
        </w:rPr>
        <w:t>sites</w:t>
      </w:r>
      <w:r w:rsidRPr="004849D0">
        <w:t xml:space="preserve"> sufficient to provide 5 years’ worth of sites against their locally set targets</w:t>
      </w:r>
      <w:r>
        <w:t>’ and ‘</w:t>
      </w:r>
      <w:r w:rsidRPr="004849D0">
        <w:t xml:space="preserve">relate the number of </w:t>
      </w:r>
      <w:r w:rsidRPr="0014458C">
        <w:rPr>
          <w:u w:val="single"/>
        </w:rPr>
        <w:t>pitches/plots</w:t>
      </w:r>
      <w:r w:rsidRPr="004849D0">
        <w:t xml:space="preserve"> to the circumstances of the specific size and location of the site and the surrounding population’s size and density</w:t>
      </w:r>
      <w:r>
        <w:t>’ (PPTS 2015, paragraph 10)</w:t>
      </w:r>
      <w:r w:rsidRPr="00752139">
        <w:t>.</w:t>
      </w:r>
    </w:p>
    <w:p w14:paraId="263C0291" w14:textId="6BAE3EEE" w:rsidR="007525B2" w:rsidRPr="00752139" w:rsidRDefault="007525B2" w:rsidP="0014458C">
      <w:pPr>
        <w:pStyle w:val="Reporttext"/>
      </w:pPr>
      <w:r w:rsidRPr="00752139">
        <w:t xml:space="preserve">Planning decision notices usually refer </w:t>
      </w:r>
      <w:r w:rsidR="00230D7F">
        <w:t xml:space="preserve">to </w:t>
      </w:r>
      <w:r w:rsidRPr="00752139">
        <w:t xml:space="preserve">the number of pitches on a site or the specifics of what can be on a pitch e.g. statics, tourers; or specific individuals and/or households. </w:t>
      </w:r>
    </w:p>
    <w:p w14:paraId="673B4718" w14:textId="7AC390C5" w:rsidR="007525B2" w:rsidRPr="00752139" w:rsidRDefault="007525B2" w:rsidP="0014458C">
      <w:pPr>
        <w:pStyle w:val="Reporttext"/>
      </w:pPr>
      <w:r w:rsidRPr="00752139">
        <w:t xml:space="preserve">As part of the GTAA, it is essential that the characteristics of sites, the number of pitches and how many households these can support is carefully considered. There are a range of issues which need to be considered when reviewing site and pitch characteristics and their potential implications for future pitch and site requirements which are now summarised. </w:t>
      </w:r>
    </w:p>
    <w:p w14:paraId="68235C6D" w14:textId="77777777" w:rsidR="007525B2" w:rsidRPr="00752139" w:rsidRDefault="007525B2" w:rsidP="003E6544">
      <w:pPr>
        <w:pStyle w:val="Reporttext"/>
        <w:numPr>
          <w:ilvl w:val="0"/>
          <w:numId w:val="0"/>
        </w:numPr>
        <w:ind w:left="709"/>
      </w:pPr>
    </w:p>
    <w:p w14:paraId="2F9DB357" w14:textId="77777777" w:rsidR="007525B2" w:rsidRPr="00752139" w:rsidRDefault="007525B2" w:rsidP="007525B2">
      <w:pPr>
        <w:pStyle w:val="Heading3"/>
      </w:pPr>
      <w:r w:rsidRPr="00752139">
        <w:t>Site and pitch size</w:t>
      </w:r>
    </w:p>
    <w:p w14:paraId="4FF5E01B" w14:textId="77777777" w:rsidR="007525B2" w:rsidRPr="00F40AF2" w:rsidRDefault="007525B2" w:rsidP="0014458C">
      <w:pPr>
        <w:pStyle w:val="Reporttext"/>
      </w:pPr>
      <w:r w:rsidRPr="00752139">
        <w:t xml:space="preserve">There are no definitive parameters for site or pitch sizes. </w:t>
      </w:r>
      <w:r>
        <w:t xml:space="preserve">Previous </w:t>
      </w:r>
      <w:r w:rsidRPr="00752139">
        <w:t>Design Guidance (</w:t>
      </w:r>
      <w:r>
        <w:t>D</w:t>
      </w:r>
      <w:r w:rsidRPr="00752139">
        <w:t>CLG</w:t>
      </w:r>
      <w:r>
        <w:t>, 2008) states in paragraph 4.4 that ‘</w:t>
      </w:r>
      <w:r w:rsidRPr="0014458C">
        <w:rPr>
          <w:i/>
        </w:rPr>
        <w:t xml:space="preserve">Gypsy and Traveller sites are designed to provide land per household which is suitable for a mobile home, touring caravan and a utility building, together with space for parking. Sites of various sizes, layouts and pitch numbers operate successfully today and work best when they take into account the size of the site and the needs and demographics of the families resident on them’. </w:t>
      </w:r>
    </w:p>
    <w:p w14:paraId="26A33AEF" w14:textId="0692B6FB" w:rsidR="007525B2" w:rsidRPr="00F40AF2" w:rsidRDefault="007525B2" w:rsidP="0014458C">
      <w:pPr>
        <w:pStyle w:val="Reporttext"/>
      </w:pPr>
      <w:r w:rsidRPr="00752139">
        <w:t>Para</w:t>
      </w:r>
      <w:r>
        <w:t>graph</w:t>
      </w:r>
      <w:r w:rsidRPr="00752139">
        <w:t xml:space="preserve"> 4.47 states </w:t>
      </w:r>
      <w:r>
        <w:t>that ‘</w:t>
      </w:r>
      <w:r w:rsidRPr="004849D0">
        <w:t>to ensure fire safety it is essential that every trailer, caravan or park home must be not less than 6 metres from any other trailer, caravan or park home that is occupied separately</w:t>
      </w:r>
      <w:r>
        <w:t>’</w:t>
      </w:r>
      <w:r w:rsidRPr="004849D0">
        <w:t xml:space="preserve">. </w:t>
      </w:r>
    </w:p>
    <w:p w14:paraId="5F18B578" w14:textId="77777777" w:rsidR="007525B2" w:rsidRDefault="007525B2" w:rsidP="0014458C">
      <w:pPr>
        <w:pStyle w:val="Reporttext"/>
      </w:pPr>
      <w:r w:rsidRPr="00752139">
        <w:t>Para</w:t>
      </w:r>
      <w:r>
        <w:t>graph</w:t>
      </w:r>
      <w:r w:rsidRPr="00752139">
        <w:t xml:space="preserve"> 7.12 states </w:t>
      </w:r>
      <w:r>
        <w:t>that ‘</w:t>
      </w:r>
      <w:r w:rsidRPr="004849D0">
        <w:t>as a general guide, it is possible to specify that an average family pitch must be capable of accommodating an amenity building, a large trailer and touring caravan (or two trailers, drying space for clothes, a lockable shed (for bicycles, wheelchair storage etc.), parking space for two vehicles and a small garden area</w:t>
      </w:r>
      <w:r>
        <w:t>’</w:t>
      </w:r>
      <w:r w:rsidRPr="00752139">
        <w:t xml:space="preserve">. </w:t>
      </w:r>
    </w:p>
    <w:p w14:paraId="51F6A3D8" w14:textId="77777777" w:rsidR="007525B2" w:rsidRDefault="007525B2" w:rsidP="0014458C">
      <w:pPr>
        <w:pStyle w:val="Reporttext"/>
      </w:pPr>
      <w:r w:rsidRPr="00752139">
        <w:t>Para</w:t>
      </w:r>
      <w:r>
        <w:t>graph 4.13 states that ‘</w:t>
      </w:r>
      <w:r w:rsidRPr="004849D0">
        <w:t>smaller pitches must be able to accommodate at least an amenity building, a large trailer, drying space for clothes and parking for at le</w:t>
      </w:r>
      <w:r>
        <w:t>ast one vehicle’.</w:t>
      </w:r>
    </w:p>
    <w:p w14:paraId="7DF87AD8" w14:textId="77777777" w:rsidR="007525B2" w:rsidRDefault="007525B2" w:rsidP="003E6544">
      <w:pPr>
        <w:pStyle w:val="Reporttext"/>
        <w:numPr>
          <w:ilvl w:val="0"/>
          <w:numId w:val="0"/>
        </w:numPr>
        <w:ind w:left="709"/>
      </w:pPr>
    </w:p>
    <w:p w14:paraId="408DA775" w14:textId="77777777" w:rsidR="007525B2" w:rsidRPr="00752139" w:rsidRDefault="007525B2" w:rsidP="007525B2">
      <w:pPr>
        <w:pStyle w:val="Heading3"/>
      </w:pPr>
      <w:r>
        <w:t>Occupancy</w:t>
      </w:r>
    </w:p>
    <w:p w14:paraId="155DF811" w14:textId="442FB59F" w:rsidR="007525B2" w:rsidRPr="00752139" w:rsidRDefault="007525B2" w:rsidP="0014458C">
      <w:pPr>
        <w:pStyle w:val="Reporttext"/>
      </w:pPr>
      <w:r w:rsidRPr="00752139">
        <w:t>A pitch may accommodate more than one family unit, for instance it could include a family, older children who have formed their own household</w:t>
      </w:r>
      <w:r>
        <w:t xml:space="preserve"> and</w:t>
      </w:r>
      <w:r w:rsidRPr="00752139">
        <w:t xml:space="preserve"> other family members. This could lead to potential overcrowding </w:t>
      </w:r>
      <w:r>
        <w:t xml:space="preserve">and this is considered as part of the GTAA </w:t>
      </w:r>
      <w:r w:rsidR="005B28FC">
        <w:t xml:space="preserve">Update </w:t>
      </w:r>
      <w:r>
        <w:t>household survey.</w:t>
      </w:r>
      <w:r w:rsidRPr="00752139">
        <w:t xml:space="preserve"> </w:t>
      </w:r>
    </w:p>
    <w:p w14:paraId="51025F5E" w14:textId="681BBA8C" w:rsidR="007525B2" w:rsidRPr="00752139" w:rsidRDefault="007525B2" w:rsidP="0014458C">
      <w:pPr>
        <w:pStyle w:val="Reporttext"/>
      </w:pPr>
      <w:r w:rsidRPr="00752139">
        <w:t>Private sites may restrict occupancy to close family/friends. This limits opportunity for others to move onto the site but this restrictive occupancy may provide for emerging needs</w:t>
      </w:r>
      <w:r w:rsidR="00E45598">
        <w:t xml:space="preserve"> within a household, for example as grown-up children (previously living within a parent(s) or grandparent(s) home) form independent households of their own</w:t>
      </w:r>
      <w:r>
        <w:t>.</w:t>
      </w:r>
    </w:p>
    <w:p w14:paraId="63118604" w14:textId="77777777" w:rsidR="007525B2" w:rsidRPr="00752139" w:rsidRDefault="007525B2" w:rsidP="0014458C">
      <w:pPr>
        <w:pStyle w:val="Reporttext"/>
      </w:pPr>
      <w:r w:rsidRPr="00752139">
        <w:t>Quality, size of pitch and proximity of caravans on pitches vary dramatically</w:t>
      </w:r>
      <w:r>
        <w:t>.</w:t>
      </w:r>
    </w:p>
    <w:p w14:paraId="324F44BC" w14:textId="77777777" w:rsidR="007525B2" w:rsidRDefault="007525B2" w:rsidP="003E6544">
      <w:pPr>
        <w:pStyle w:val="Reporttext"/>
        <w:numPr>
          <w:ilvl w:val="0"/>
          <w:numId w:val="0"/>
        </w:numPr>
        <w:ind w:left="709"/>
      </w:pPr>
    </w:p>
    <w:p w14:paraId="260CAEC0" w14:textId="77777777" w:rsidR="007525B2" w:rsidRPr="00752139" w:rsidRDefault="007525B2" w:rsidP="007525B2">
      <w:pPr>
        <w:pStyle w:val="Heading3"/>
      </w:pPr>
      <w:r>
        <w:t>Response</w:t>
      </w:r>
    </w:p>
    <w:p w14:paraId="4F98B60B" w14:textId="44581D84" w:rsidR="007525B2" w:rsidRPr="00752139" w:rsidRDefault="007525B2" w:rsidP="0014458C">
      <w:pPr>
        <w:pStyle w:val="Reporttext"/>
      </w:pPr>
      <w:r w:rsidRPr="00752139">
        <w:t xml:space="preserve">For each site, a pragmatic and reasonable judgement should be made as part of the GTAA </w:t>
      </w:r>
      <w:r w:rsidR="00216221">
        <w:t>Up</w:t>
      </w:r>
      <w:r w:rsidR="005B28FC">
        <w:t xml:space="preserve">date </w:t>
      </w:r>
      <w:r w:rsidRPr="00752139">
        <w:t>regarding the number of pitches or sub-divisions on sites. This may relate to the number of families living on sites and could include a consideration of the potential intensification of site</w:t>
      </w:r>
      <w:r>
        <w:t>s</w:t>
      </w:r>
      <w:r w:rsidRPr="00752139">
        <w:t xml:space="preserve"> (for instance through further sub-division, extension or use of vacant areas within the site). Capacity and layout of sites should be identified through site observation (</w:t>
      </w:r>
      <w:r>
        <w:t>directly or indirectly through G</w:t>
      </w:r>
      <w:r w:rsidRPr="00752139">
        <w:t>oogle</w:t>
      </w:r>
      <w:r>
        <w:t xml:space="preserve"> </w:t>
      </w:r>
      <w:r w:rsidRPr="00752139">
        <w:t>maps or similar), planning history and local knowledge of planning, enforcement and liaison officers</w:t>
      </w:r>
      <w:r>
        <w:t>.</w:t>
      </w:r>
    </w:p>
    <w:p w14:paraId="308CA9FA" w14:textId="77777777" w:rsidR="007525B2" w:rsidRPr="0014458C" w:rsidRDefault="007525B2" w:rsidP="0014458C">
      <w:pPr>
        <w:pStyle w:val="Reporttext"/>
        <w:rPr>
          <w:bCs/>
          <w:color w:val="009999"/>
          <w:kern w:val="32"/>
          <w:sz w:val="40"/>
          <w:szCs w:val="28"/>
        </w:rPr>
      </w:pPr>
      <w:r w:rsidRPr="00752139">
        <w:t xml:space="preserve">Pitches can become intensified or sub-divided once planning applications have been approved. These sub-divisions tend to be tolerated by </w:t>
      </w:r>
      <w:r>
        <w:t>c</w:t>
      </w:r>
      <w:r w:rsidRPr="00752139">
        <w:t xml:space="preserve">ouncils. Often pitches become subdivided to provide space for newly-forming households, particularly from family members.  </w:t>
      </w:r>
      <w:bookmarkStart w:id="107" w:name="_Toc417995950"/>
      <w:bookmarkStart w:id="108" w:name="_Toc375313612"/>
      <w:r>
        <w:br w:type="page"/>
      </w:r>
    </w:p>
    <w:p w14:paraId="1F619777" w14:textId="127EB15E" w:rsidR="007525B2" w:rsidRDefault="002528DE" w:rsidP="0014458C">
      <w:pPr>
        <w:pStyle w:val="Heading1"/>
      </w:pPr>
      <w:bookmarkStart w:id="109" w:name="_Toc375313614"/>
      <w:bookmarkStart w:id="110" w:name="_Toc417995952"/>
      <w:bookmarkStart w:id="111" w:name="_Toc457575045"/>
      <w:bookmarkStart w:id="112" w:name="_Toc459646233"/>
      <w:bookmarkStart w:id="113" w:name="_Toc477256934"/>
      <w:bookmarkStart w:id="114" w:name="_Toc485383234"/>
      <w:bookmarkStart w:id="115" w:name="_Toc510091961"/>
      <w:bookmarkStart w:id="116" w:name="_Toc13845473"/>
      <w:bookmarkEnd w:id="107"/>
      <w:bookmarkEnd w:id="108"/>
      <w:r>
        <w:t xml:space="preserve">Review of the Gypsy and </w:t>
      </w:r>
      <w:r w:rsidR="00F03B23">
        <w:t>Traveller</w:t>
      </w:r>
      <w:r w:rsidR="007525B2">
        <w:t xml:space="preserve"> population and </w:t>
      </w:r>
      <w:r w:rsidR="00F03B23">
        <w:t xml:space="preserve">existing </w:t>
      </w:r>
      <w:r w:rsidR="007525B2">
        <w:t>pitch</w:t>
      </w:r>
      <w:bookmarkEnd w:id="109"/>
      <w:bookmarkEnd w:id="110"/>
      <w:bookmarkEnd w:id="111"/>
      <w:r w:rsidR="007525B2">
        <w:t>/plot provision</w:t>
      </w:r>
      <w:bookmarkEnd w:id="112"/>
      <w:bookmarkEnd w:id="113"/>
      <w:bookmarkEnd w:id="114"/>
      <w:bookmarkEnd w:id="115"/>
      <w:bookmarkEnd w:id="116"/>
    </w:p>
    <w:p w14:paraId="7DFC7A2E" w14:textId="77777777" w:rsidR="007525B2" w:rsidRPr="000E3984" w:rsidRDefault="007525B2" w:rsidP="0014458C">
      <w:pPr>
        <w:pStyle w:val="Reporttext"/>
      </w:pPr>
      <w:bookmarkStart w:id="117" w:name="_Toc375313615"/>
      <w:bookmarkStart w:id="118" w:name="_Toc336443293"/>
      <w:r>
        <w:t xml:space="preserve">This chapter looks at the current picture in terms of the current population and demography of Gypsies and Travellers across the study area before going on to explore the </w:t>
      </w:r>
      <w:r w:rsidRPr="000E3984">
        <w:t>extent and nature of provision across the area.</w:t>
      </w:r>
    </w:p>
    <w:p w14:paraId="59E841A0" w14:textId="77777777" w:rsidR="007525B2" w:rsidRPr="000E3984" w:rsidRDefault="007525B2" w:rsidP="007525B2"/>
    <w:p w14:paraId="3E2A8E56" w14:textId="77777777" w:rsidR="007525B2" w:rsidRPr="000E3984" w:rsidRDefault="007525B2" w:rsidP="007525B2">
      <w:pPr>
        <w:pStyle w:val="Heading2"/>
      </w:pPr>
      <w:bookmarkStart w:id="119" w:name="_Toc417995953"/>
      <w:bookmarkStart w:id="120" w:name="_Toc459646234"/>
      <w:bookmarkStart w:id="121" w:name="_Toc477256935"/>
      <w:bookmarkStart w:id="122" w:name="_Toc485383235"/>
      <w:bookmarkStart w:id="123" w:name="_Toc510091962"/>
      <w:bookmarkStart w:id="124" w:name="_Toc13845474"/>
      <w:r w:rsidRPr="000E3984">
        <w:t>2011 Census population estimates</w:t>
      </w:r>
      <w:bookmarkEnd w:id="117"/>
      <w:bookmarkEnd w:id="118"/>
      <w:bookmarkEnd w:id="119"/>
      <w:bookmarkEnd w:id="120"/>
      <w:bookmarkEnd w:id="121"/>
      <w:bookmarkEnd w:id="122"/>
      <w:bookmarkEnd w:id="123"/>
      <w:bookmarkEnd w:id="124"/>
    </w:p>
    <w:p w14:paraId="01A352B6" w14:textId="329D743D" w:rsidR="007525B2" w:rsidRPr="000830C6" w:rsidRDefault="007525B2" w:rsidP="0014458C">
      <w:pPr>
        <w:pStyle w:val="Reporttext"/>
      </w:pPr>
      <w:r w:rsidRPr="000830C6">
        <w:t xml:space="preserve">Whilst it is recognised that some families may not </w:t>
      </w:r>
      <w:r w:rsidRPr="00EC28AC">
        <w:t>identify themselves as Gypsies or Travellers in research, the 2011 Census</w:t>
      </w:r>
      <w:r w:rsidRPr="00EC28AC">
        <w:rPr>
          <w:vertAlign w:val="superscript"/>
        </w:rPr>
        <w:footnoteReference w:id="17"/>
      </w:r>
      <w:r w:rsidRPr="00EC28AC">
        <w:t xml:space="preserve"> identifies a total of </w:t>
      </w:r>
      <w:r w:rsidR="00717928">
        <w:t>63</w:t>
      </w:r>
      <w:r w:rsidR="0068441F" w:rsidRPr="00EC28AC">
        <w:t xml:space="preserve"> households in </w:t>
      </w:r>
      <w:r w:rsidR="00EE6DA0">
        <w:t>West Berkshire</w:t>
      </w:r>
      <w:r w:rsidR="0068441F" w:rsidRPr="00EC28AC">
        <w:t xml:space="preserve"> </w:t>
      </w:r>
      <w:r w:rsidR="00473EAA" w:rsidRPr="00EC28AC">
        <w:t>District</w:t>
      </w:r>
      <w:r w:rsidR="0068441F" w:rsidRPr="00EC28AC">
        <w:t xml:space="preserve"> </w:t>
      </w:r>
      <w:r w:rsidRPr="00EC28AC">
        <w:t xml:space="preserve">as having a ‘White: Gypsy or Irish Traveller’ (WGoIT) ethnicity (Table 4.1a). Of these, </w:t>
      </w:r>
      <w:r w:rsidR="00BF0AEC">
        <w:t>69.8</w:t>
      </w:r>
      <w:r w:rsidR="0068441F" w:rsidRPr="00EC28AC">
        <w:t>% (</w:t>
      </w:r>
      <w:r w:rsidR="00BF0AEC">
        <w:t>44</w:t>
      </w:r>
      <w:r w:rsidRPr="00EC28AC">
        <w:t xml:space="preserve"> households) lived in bricks and mortar accommodation (house or bungalow, or flat, maisonette or apartment) and</w:t>
      </w:r>
      <w:r w:rsidR="0068441F" w:rsidRPr="00EC28AC">
        <w:t xml:space="preserve"> </w:t>
      </w:r>
      <w:r w:rsidR="00BF0AEC">
        <w:t>30.2</w:t>
      </w:r>
      <w:r w:rsidR="00FA4D3B">
        <w:t>%</w:t>
      </w:r>
      <w:r w:rsidR="0068441F" w:rsidRPr="00EC28AC">
        <w:t xml:space="preserve"> (</w:t>
      </w:r>
      <w:r w:rsidR="00BF0AEC">
        <w:t>19</w:t>
      </w:r>
      <w:r w:rsidRPr="00EC28AC">
        <w:t xml:space="preserve"> households) lived in a caravan or other mobile or temporary structure.</w:t>
      </w:r>
    </w:p>
    <w:p w14:paraId="71A8BEF2" w14:textId="77777777" w:rsidR="007525B2" w:rsidRPr="006C531D" w:rsidRDefault="007525B2" w:rsidP="007525B2">
      <w:pPr>
        <w:tabs>
          <w:tab w:val="left" w:pos="709"/>
        </w:tabs>
        <w:ind w:left="709" w:hanging="709"/>
        <w:rPr>
          <w:sz w:val="22"/>
        </w:rPr>
      </w:pP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A0" w:firstRow="1" w:lastRow="0" w:firstColumn="1" w:lastColumn="0" w:noHBand="0" w:noVBand="0"/>
      </w:tblPr>
      <w:tblGrid>
        <w:gridCol w:w="1886"/>
        <w:gridCol w:w="1722"/>
        <w:gridCol w:w="1349"/>
        <w:gridCol w:w="1842"/>
        <w:gridCol w:w="2381"/>
      </w:tblGrid>
      <w:tr w:rsidR="008D0EFF" w:rsidRPr="00F7369B" w14:paraId="5D17BD89" w14:textId="77777777" w:rsidTr="008D0EFF">
        <w:tc>
          <w:tcPr>
            <w:tcW w:w="5000" w:type="pct"/>
            <w:gridSpan w:val="5"/>
            <w:tcBorders>
              <w:top w:val="single" w:sz="4" w:space="0" w:color="006666"/>
              <w:left w:val="single" w:sz="4" w:space="0" w:color="006666"/>
              <w:bottom w:val="single" w:sz="4" w:space="0" w:color="006666"/>
              <w:right w:val="single" w:sz="4" w:space="0" w:color="006666"/>
            </w:tcBorders>
            <w:shd w:val="clear" w:color="auto" w:fill="009999"/>
          </w:tcPr>
          <w:p w14:paraId="71B237E8" w14:textId="0FA49549" w:rsidR="008D0EFF" w:rsidRPr="00F7369B" w:rsidRDefault="008D0EFF" w:rsidP="007525B2">
            <w:pPr>
              <w:pStyle w:val="tableheading"/>
              <w:rPr>
                <w:szCs w:val="22"/>
              </w:rPr>
            </w:pPr>
            <w:bookmarkStart w:id="125" w:name="_Toc397098748"/>
            <w:bookmarkStart w:id="126" w:name="_Toc457816580"/>
            <w:bookmarkStart w:id="127" w:name="_Toc459646264"/>
            <w:bookmarkStart w:id="128" w:name="_Toc477256977"/>
            <w:bookmarkStart w:id="129" w:name="_Toc485383276"/>
            <w:bookmarkStart w:id="130" w:name="_Toc510092010"/>
            <w:bookmarkStart w:id="131" w:name="_Toc13845508"/>
            <w:r w:rsidRPr="00F7369B">
              <w:rPr>
                <w:szCs w:val="22"/>
              </w:rPr>
              <w:t>Table 4.1a</w:t>
            </w:r>
            <w:r w:rsidRPr="00F7369B">
              <w:rPr>
                <w:szCs w:val="22"/>
              </w:rPr>
              <w:tab/>
              <w:t>Households identifying as Gypsy Traveller by accommodation type</w:t>
            </w:r>
            <w:bookmarkEnd w:id="125"/>
            <w:bookmarkEnd w:id="126"/>
            <w:bookmarkEnd w:id="127"/>
            <w:bookmarkEnd w:id="128"/>
            <w:bookmarkEnd w:id="129"/>
            <w:bookmarkEnd w:id="130"/>
            <w:bookmarkEnd w:id="131"/>
          </w:p>
        </w:tc>
      </w:tr>
      <w:tr w:rsidR="00F7369B" w:rsidRPr="00F7369B" w14:paraId="4B7D56C1" w14:textId="77777777" w:rsidTr="0047087C">
        <w:tc>
          <w:tcPr>
            <w:tcW w:w="1027" w:type="pct"/>
            <w:tcBorders>
              <w:top w:val="single" w:sz="4" w:space="0" w:color="006666"/>
              <w:left w:val="single" w:sz="4" w:space="0" w:color="006666"/>
              <w:bottom w:val="single" w:sz="4" w:space="0" w:color="006666"/>
              <w:right w:val="single" w:sz="4" w:space="0" w:color="006666"/>
            </w:tcBorders>
            <w:shd w:val="clear" w:color="auto" w:fill="009999"/>
            <w:vAlign w:val="bottom"/>
          </w:tcPr>
          <w:p w14:paraId="46B0751E" w14:textId="40D4CF0B" w:rsidR="00F7369B" w:rsidRPr="00F7369B" w:rsidRDefault="00F7369B" w:rsidP="0047087C">
            <w:pPr>
              <w:spacing w:before="0" w:after="0"/>
              <w:jc w:val="left"/>
              <w:rPr>
                <w:b/>
                <w:color w:val="FFFFFF"/>
                <w:sz w:val="22"/>
              </w:rPr>
            </w:pPr>
            <w:r>
              <w:rPr>
                <w:b/>
                <w:color w:val="FFFFFF"/>
                <w:sz w:val="22"/>
              </w:rPr>
              <w:t>District</w:t>
            </w:r>
          </w:p>
        </w:tc>
        <w:tc>
          <w:tcPr>
            <w:tcW w:w="938"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72CF0D27" w14:textId="69B10241" w:rsidR="00F7369B" w:rsidRPr="00F7369B" w:rsidRDefault="00F7369B" w:rsidP="0047087C">
            <w:pPr>
              <w:spacing w:before="0" w:after="0"/>
              <w:jc w:val="center"/>
              <w:rPr>
                <w:b/>
                <w:color w:val="FFFFFF"/>
                <w:sz w:val="22"/>
              </w:rPr>
            </w:pPr>
            <w:r w:rsidRPr="00F7369B">
              <w:rPr>
                <w:b/>
                <w:color w:val="FFFFFF"/>
                <w:sz w:val="22"/>
              </w:rPr>
              <w:t>Total: Accommodation type</w:t>
            </w:r>
          </w:p>
        </w:tc>
        <w:tc>
          <w:tcPr>
            <w:tcW w:w="735"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0C388FF3" w14:textId="77777777" w:rsidR="00F7369B" w:rsidRPr="00F7369B" w:rsidRDefault="00F7369B" w:rsidP="0047087C">
            <w:pPr>
              <w:spacing w:before="0" w:after="0"/>
              <w:jc w:val="center"/>
              <w:rPr>
                <w:b/>
                <w:color w:val="FFFFFF"/>
                <w:sz w:val="22"/>
              </w:rPr>
            </w:pPr>
            <w:r w:rsidRPr="00F7369B">
              <w:rPr>
                <w:b/>
                <w:color w:val="FFFFFF"/>
                <w:sz w:val="22"/>
              </w:rPr>
              <w:t>House or bungalow</w:t>
            </w:r>
          </w:p>
        </w:tc>
        <w:tc>
          <w:tcPr>
            <w:tcW w:w="1003"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70F71DA3" w14:textId="77777777" w:rsidR="00F7369B" w:rsidRPr="00F7369B" w:rsidRDefault="00F7369B" w:rsidP="0047087C">
            <w:pPr>
              <w:spacing w:before="0" w:after="0"/>
              <w:jc w:val="center"/>
              <w:rPr>
                <w:b/>
                <w:color w:val="FFFFFF"/>
                <w:sz w:val="22"/>
              </w:rPr>
            </w:pPr>
            <w:r w:rsidRPr="00F7369B">
              <w:rPr>
                <w:b/>
                <w:color w:val="FFFFFF"/>
                <w:sz w:val="22"/>
              </w:rPr>
              <w:t>A flat, maisonette or apartment</w:t>
            </w:r>
          </w:p>
        </w:tc>
        <w:tc>
          <w:tcPr>
            <w:tcW w:w="1297"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5338F78A" w14:textId="77777777" w:rsidR="00F7369B" w:rsidRPr="00F7369B" w:rsidRDefault="00F7369B" w:rsidP="0047087C">
            <w:pPr>
              <w:spacing w:before="0" w:after="0"/>
              <w:jc w:val="center"/>
              <w:rPr>
                <w:b/>
                <w:color w:val="FFFFFF"/>
                <w:sz w:val="22"/>
              </w:rPr>
            </w:pPr>
            <w:r w:rsidRPr="00F7369B">
              <w:rPr>
                <w:b/>
                <w:color w:val="FFFFFF"/>
                <w:sz w:val="22"/>
              </w:rPr>
              <w:t>A caravan or other mobile or temporary structure</w:t>
            </w:r>
          </w:p>
        </w:tc>
      </w:tr>
      <w:tr w:rsidR="00F7369B" w:rsidRPr="006455F7" w14:paraId="2534D0E7" w14:textId="77777777" w:rsidTr="0047087C">
        <w:trPr>
          <w:trHeight w:val="215"/>
        </w:trPr>
        <w:tc>
          <w:tcPr>
            <w:tcW w:w="1027" w:type="pct"/>
            <w:tcBorders>
              <w:top w:val="single" w:sz="4" w:space="0" w:color="006666"/>
              <w:left w:val="single" w:sz="4" w:space="0" w:color="006666"/>
              <w:bottom w:val="single" w:sz="4" w:space="0" w:color="006666"/>
              <w:right w:val="single" w:sz="4" w:space="0" w:color="006666"/>
            </w:tcBorders>
          </w:tcPr>
          <w:p w14:paraId="16E008E9" w14:textId="4F650127" w:rsidR="00F7369B" w:rsidRPr="00F7369B" w:rsidRDefault="00F7369B" w:rsidP="0047087C">
            <w:pPr>
              <w:spacing w:before="0" w:after="0"/>
              <w:jc w:val="left"/>
              <w:rPr>
                <w:rFonts w:cs="Calibri"/>
                <w:sz w:val="22"/>
                <w:szCs w:val="22"/>
              </w:rPr>
            </w:pPr>
            <w:r>
              <w:rPr>
                <w:rFonts w:cs="Calibri"/>
                <w:sz w:val="22"/>
                <w:szCs w:val="22"/>
              </w:rPr>
              <w:t>West Berkshire</w:t>
            </w:r>
          </w:p>
        </w:tc>
        <w:tc>
          <w:tcPr>
            <w:tcW w:w="938" w:type="pct"/>
            <w:tcBorders>
              <w:top w:val="single" w:sz="4" w:space="0" w:color="006666"/>
              <w:left w:val="single" w:sz="4" w:space="0" w:color="006666"/>
              <w:bottom w:val="single" w:sz="4" w:space="0" w:color="006666"/>
              <w:right w:val="single" w:sz="4" w:space="0" w:color="006666"/>
            </w:tcBorders>
            <w:noWrap/>
          </w:tcPr>
          <w:p w14:paraId="2275F9FD" w14:textId="7A89E340" w:rsidR="00F7369B" w:rsidRPr="00F7369B" w:rsidRDefault="00F7369B" w:rsidP="0055022D">
            <w:pPr>
              <w:spacing w:before="0" w:after="0"/>
              <w:jc w:val="center"/>
              <w:rPr>
                <w:rFonts w:cs="Calibri"/>
                <w:sz w:val="22"/>
                <w:szCs w:val="22"/>
              </w:rPr>
            </w:pPr>
            <w:r w:rsidRPr="00F7369B">
              <w:rPr>
                <w:rFonts w:cs="Calibri"/>
                <w:sz w:val="22"/>
                <w:szCs w:val="22"/>
              </w:rPr>
              <w:t>63</w:t>
            </w:r>
          </w:p>
        </w:tc>
        <w:tc>
          <w:tcPr>
            <w:tcW w:w="735" w:type="pct"/>
            <w:tcBorders>
              <w:top w:val="single" w:sz="4" w:space="0" w:color="006666"/>
              <w:left w:val="single" w:sz="4" w:space="0" w:color="006666"/>
              <w:bottom w:val="single" w:sz="4" w:space="0" w:color="006666"/>
              <w:right w:val="single" w:sz="4" w:space="0" w:color="006666"/>
            </w:tcBorders>
            <w:noWrap/>
          </w:tcPr>
          <w:p w14:paraId="23042A84" w14:textId="7B74157A" w:rsidR="00F7369B" w:rsidRPr="00F7369B" w:rsidRDefault="00F7369B" w:rsidP="0055022D">
            <w:pPr>
              <w:spacing w:before="0" w:after="0"/>
              <w:jc w:val="center"/>
              <w:rPr>
                <w:rFonts w:cs="Calibri"/>
                <w:sz w:val="22"/>
                <w:szCs w:val="22"/>
              </w:rPr>
            </w:pPr>
            <w:r w:rsidRPr="00F7369B">
              <w:rPr>
                <w:rFonts w:cs="Calibri"/>
                <w:sz w:val="22"/>
                <w:szCs w:val="22"/>
              </w:rPr>
              <w:t>29</w:t>
            </w:r>
          </w:p>
        </w:tc>
        <w:tc>
          <w:tcPr>
            <w:tcW w:w="1003" w:type="pct"/>
            <w:tcBorders>
              <w:top w:val="single" w:sz="4" w:space="0" w:color="006666"/>
              <w:left w:val="single" w:sz="4" w:space="0" w:color="006666"/>
              <w:bottom w:val="single" w:sz="4" w:space="0" w:color="006666"/>
              <w:right w:val="single" w:sz="4" w:space="0" w:color="006666"/>
            </w:tcBorders>
            <w:noWrap/>
          </w:tcPr>
          <w:p w14:paraId="71DFC7FE" w14:textId="66AE2D2E" w:rsidR="00F7369B" w:rsidRPr="00F7369B" w:rsidRDefault="00F7369B" w:rsidP="0055022D">
            <w:pPr>
              <w:spacing w:before="0" w:after="0"/>
              <w:jc w:val="center"/>
              <w:rPr>
                <w:rFonts w:cs="Calibri"/>
                <w:sz w:val="22"/>
                <w:szCs w:val="22"/>
              </w:rPr>
            </w:pPr>
            <w:r w:rsidRPr="00F7369B">
              <w:rPr>
                <w:rFonts w:cs="Calibri"/>
                <w:sz w:val="22"/>
                <w:szCs w:val="22"/>
              </w:rPr>
              <w:t>15</w:t>
            </w:r>
          </w:p>
        </w:tc>
        <w:tc>
          <w:tcPr>
            <w:tcW w:w="1297" w:type="pct"/>
            <w:tcBorders>
              <w:top w:val="single" w:sz="4" w:space="0" w:color="006666"/>
              <w:left w:val="single" w:sz="4" w:space="0" w:color="006666"/>
              <w:bottom w:val="single" w:sz="4" w:space="0" w:color="006666"/>
              <w:right w:val="single" w:sz="4" w:space="0" w:color="006666"/>
            </w:tcBorders>
            <w:noWrap/>
          </w:tcPr>
          <w:p w14:paraId="31084466" w14:textId="2CC93C5D" w:rsidR="00F7369B" w:rsidRPr="00F7369B" w:rsidRDefault="00F7369B" w:rsidP="0055022D">
            <w:pPr>
              <w:spacing w:before="0" w:after="0"/>
              <w:jc w:val="center"/>
              <w:rPr>
                <w:rFonts w:cs="Calibri"/>
                <w:sz w:val="22"/>
                <w:szCs w:val="22"/>
              </w:rPr>
            </w:pPr>
            <w:r w:rsidRPr="00F7369B">
              <w:rPr>
                <w:rFonts w:cs="Calibri"/>
                <w:sz w:val="22"/>
                <w:szCs w:val="22"/>
              </w:rPr>
              <w:t>19</w:t>
            </w:r>
          </w:p>
        </w:tc>
      </w:tr>
    </w:tbl>
    <w:p w14:paraId="763EEB35" w14:textId="77777777" w:rsidR="007525B2" w:rsidRPr="008B00E8" w:rsidRDefault="007525B2" w:rsidP="007525B2">
      <w:pPr>
        <w:tabs>
          <w:tab w:val="left" w:pos="709"/>
        </w:tabs>
        <w:rPr>
          <w:rFonts w:cs="Arial"/>
          <w:sz w:val="20"/>
          <w:szCs w:val="20"/>
        </w:rPr>
      </w:pPr>
      <w:r w:rsidRPr="008B00E8">
        <w:rPr>
          <w:rFonts w:cs="Arial"/>
          <w:sz w:val="20"/>
          <w:szCs w:val="20"/>
        </w:rPr>
        <w:t xml:space="preserve">Source: 2011 Census </w:t>
      </w:r>
    </w:p>
    <w:p w14:paraId="66D2406B" w14:textId="77777777" w:rsidR="007525B2" w:rsidRPr="008B00E8" w:rsidRDefault="007525B2" w:rsidP="007525B2">
      <w:pPr>
        <w:tabs>
          <w:tab w:val="left" w:pos="709"/>
        </w:tabs>
        <w:rPr>
          <w:rFonts w:cs="Arial"/>
          <w:sz w:val="22"/>
          <w:szCs w:val="22"/>
        </w:rPr>
      </w:pPr>
    </w:p>
    <w:p w14:paraId="2AFE45EE" w14:textId="15D82417" w:rsidR="007525B2" w:rsidRPr="000E3984" w:rsidRDefault="007525B2" w:rsidP="0014458C">
      <w:pPr>
        <w:pStyle w:val="Reporttext"/>
      </w:pPr>
      <w:r w:rsidRPr="000E3984">
        <w:t>The 2011 Census provides further information on actual resident</w:t>
      </w:r>
      <w:r w:rsidR="00BF0AEC">
        <w:t xml:space="preserve"> number</w:t>
      </w:r>
      <w:r w:rsidRPr="000E3984">
        <w:t xml:space="preserve">s and Table 4.1b provides </w:t>
      </w:r>
      <w:r w:rsidR="00BF0AEC">
        <w:t>population details by accommodation type</w:t>
      </w:r>
      <w:r w:rsidRPr="000E3984">
        <w:t xml:space="preserve">. </w:t>
      </w:r>
    </w:p>
    <w:p w14:paraId="77CD7501" w14:textId="77777777" w:rsidR="007525B2" w:rsidRPr="006C531D" w:rsidRDefault="007525B2" w:rsidP="007525B2">
      <w:pPr>
        <w:tabs>
          <w:tab w:val="left" w:pos="709"/>
        </w:tabs>
        <w:ind w:left="349"/>
        <w:rPr>
          <w:highlight w:val="red"/>
        </w:rPr>
      </w:pP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A0" w:firstRow="1" w:lastRow="0" w:firstColumn="1" w:lastColumn="0" w:noHBand="0" w:noVBand="0"/>
      </w:tblPr>
      <w:tblGrid>
        <w:gridCol w:w="1829"/>
        <w:gridCol w:w="1722"/>
        <w:gridCol w:w="1548"/>
        <w:gridCol w:w="1700"/>
        <w:gridCol w:w="2381"/>
      </w:tblGrid>
      <w:tr w:rsidR="008D0EFF" w:rsidRPr="00F7369B" w14:paraId="6A5F5887" w14:textId="77777777" w:rsidTr="008D0EFF">
        <w:tc>
          <w:tcPr>
            <w:tcW w:w="5000" w:type="pct"/>
            <w:gridSpan w:val="5"/>
            <w:tcBorders>
              <w:top w:val="single" w:sz="4" w:space="0" w:color="006666"/>
              <w:left w:val="single" w:sz="4" w:space="0" w:color="006666"/>
              <w:bottom w:val="single" w:sz="4" w:space="0" w:color="006666"/>
              <w:right w:val="single" w:sz="4" w:space="0" w:color="006666"/>
            </w:tcBorders>
            <w:shd w:val="clear" w:color="auto" w:fill="009999"/>
          </w:tcPr>
          <w:p w14:paraId="200E9463" w14:textId="427DA499" w:rsidR="008D0EFF" w:rsidRPr="00F7369B" w:rsidRDefault="008D0EFF" w:rsidP="007525B2">
            <w:pPr>
              <w:pStyle w:val="tableheading"/>
              <w:rPr>
                <w:szCs w:val="22"/>
              </w:rPr>
            </w:pPr>
            <w:bookmarkStart w:id="132" w:name="_Toc457816581"/>
            <w:bookmarkStart w:id="133" w:name="_Toc459646265"/>
            <w:bookmarkStart w:id="134" w:name="_Toc477256978"/>
            <w:bookmarkStart w:id="135" w:name="_Toc485383277"/>
            <w:bookmarkStart w:id="136" w:name="_Toc510092011"/>
            <w:bookmarkStart w:id="137" w:name="_Toc13845509"/>
            <w:r w:rsidRPr="00F7369B">
              <w:rPr>
                <w:szCs w:val="22"/>
              </w:rPr>
              <w:t>Table 4.1b</w:t>
            </w:r>
            <w:r w:rsidRPr="00F7369B">
              <w:rPr>
                <w:szCs w:val="22"/>
              </w:rPr>
              <w:tab/>
              <w:t>People from households identifying as WGoIT by accommodation type</w:t>
            </w:r>
            <w:bookmarkEnd w:id="132"/>
            <w:bookmarkEnd w:id="133"/>
            <w:bookmarkEnd w:id="134"/>
            <w:bookmarkEnd w:id="135"/>
            <w:bookmarkEnd w:id="136"/>
            <w:bookmarkEnd w:id="137"/>
          </w:p>
        </w:tc>
      </w:tr>
      <w:tr w:rsidR="008D0EFF" w:rsidRPr="00F7369B" w14:paraId="036250C6" w14:textId="77777777" w:rsidTr="0047087C">
        <w:tc>
          <w:tcPr>
            <w:tcW w:w="996" w:type="pct"/>
            <w:tcBorders>
              <w:top w:val="single" w:sz="4" w:space="0" w:color="006666"/>
              <w:left w:val="single" w:sz="4" w:space="0" w:color="006666"/>
              <w:bottom w:val="single" w:sz="4" w:space="0" w:color="006666"/>
              <w:right w:val="single" w:sz="4" w:space="0" w:color="006666"/>
            </w:tcBorders>
            <w:shd w:val="clear" w:color="auto" w:fill="009999"/>
            <w:vAlign w:val="bottom"/>
          </w:tcPr>
          <w:p w14:paraId="640F3393" w14:textId="562D0243" w:rsidR="008D0EFF" w:rsidRPr="00F7369B" w:rsidRDefault="008D0EFF" w:rsidP="0047087C">
            <w:pPr>
              <w:spacing w:before="0" w:after="0"/>
              <w:jc w:val="left"/>
              <w:rPr>
                <w:rFonts w:cs="Arial"/>
                <w:b/>
                <w:color w:val="FFFFFF"/>
                <w:sz w:val="22"/>
                <w:szCs w:val="22"/>
              </w:rPr>
            </w:pPr>
            <w:r>
              <w:rPr>
                <w:b/>
                <w:color w:val="FFFFFF"/>
                <w:sz w:val="22"/>
              </w:rPr>
              <w:t>District</w:t>
            </w:r>
          </w:p>
        </w:tc>
        <w:tc>
          <w:tcPr>
            <w:tcW w:w="938"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66D42695" w14:textId="197CCE9E" w:rsidR="008D0EFF" w:rsidRPr="00F7369B" w:rsidRDefault="008D0EFF" w:rsidP="0047087C">
            <w:pPr>
              <w:spacing w:before="0" w:after="0"/>
              <w:jc w:val="center"/>
              <w:rPr>
                <w:rFonts w:cs="Arial"/>
                <w:b/>
                <w:color w:val="FFFFFF"/>
                <w:sz w:val="22"/>
                <w:szCs w:val="22"/>
              </w:rPr>
            </w:pPr>
            <w:r w:rsidRPr="00F7369B">
              <w:rPr>
                <w:rFonts w:cs="Arial"/>
                <w:b/>
                <w:color w:val="FFFFFF"/>
                <w:sz w:val="22"/>
                <w:szCs w:val="22"/>
              </w:rPr>
              <w:t>Total: Accommodation type</w:t>
            </w:r>
          </w:p>
        </w:tc>
        <w:tc>
          <w:tcPr>
            <w:tcW w:w="843"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73D8FF69" w14:textId="77777777" w:rsidR="008D0EFF" w:rsidRPr="00F7369B" w:rsidRDefault="008D0EFF" w:rsidP="0047087C">
            <w:pPr>
              <w:spacing w:before="0" w:after="0"/>
              <w:jc w:val="center"/>
              <w:rPr>
                <w:rFonts w:cs="Arial"/>
                <w:b/>
                <w:color w:val="FFFFFF"/>
                <w:sz w:val="22"/>
                <w:szCs w:val="22"/>
              </w:rPr>
            </w:pPr>
            <w:r w:rsidRPr="00F7369B">
              <w:rPr>
                <w:rFonts w:cs="Arial"/>
                <w:b/>
                <w:color w:val="FFFFFF"/>
                <w:sz w:val="22"/>
                <w:szCs w:val="22"/>
              </w:rPr>
              <w:t>House or bungalow</w:t>
            </w:r>
          </w:p>
        </w:tc>
        <w:tc>
          <w:tcPr>
            <w:tcW w:w="926"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66CB64D1" w14:textId="77777777" w:rsidR="008D0EFF" w:rsidRPr="00F7369B" w:rsidRDefault="008D0EFF" w:rsidP="0047087C">
            <w:pPr>
              <w:spacing w:before="0" w:after="0"/>
              <w:jc w:val="center"/>
              <w:rPr>
                <w:rFonts w:cs="Arial"/>
                <w:b/>
                <w:color w:val="FFFFFF"/>
                <w:sz w:val="22"/>
                <w:szCs w:val="22"/>
              </w:rPr>
            </w:pPr>
            <w:r w:rsidRPr="00F7369B">
              <w:rPr>
                <w:rFonts w:cs="Arial"/>
                <w:b/>
                <w:color w:val="FFFFFF"/>
                <w:sz w:val="22"/>
                <w:szCs w:val="22"/>
              </w:rPr>
              <w:t>A flat, maisonette or apartment</w:t>
            </w:r>
          </w:p>
        </w:tc>
        <w:tc>
          <w:tcPr>
            <w:tcW w:w="1297"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23E78191" w14:textId="77777777" w:rsidR="008D0EFF" w:rsidRPr="00F7369B" w:rsidRDefault="008D0EFF" w:rsidP="0047087C">
            <w:pPr>
              <w:spacing w:before="0" w:after="0"/>
              <w:jc w:val="center"/>
              <w:rPr>
                <w:rFonts w:cs="Arial"/>
                <w:b/>
                <w:color w:val="FFFFFF"/>
                <w:sz w:val="22"/>
                <w:szCs w:val="22"/>
              </w:rPr>
            </w:pPr>
            <w:r w:rsidRPr="00F7369B">
              <w:rPr>
                <w:rFonts w:cs="Arial"/>
                <w:b/>
                <w:color w:val="FFFFFF"/>
                <w:sz w:val="22"/>
                <w:szCs w:val="22"/>
              </w:rPr>
              <w:t>A caravan or other mobile or temporary structure</w:t>
            </w:r>
          </w:p>
        </w:tc>
      </w:tr>
      <w:tr w:rsidR="008D0EFF" w:rsidRPr="006455F7" w14:paraId="6003C63E" w14:textId="77777777" w:rsidTr="0047087C">
        <w:trPr>
          <w:trHeight w:val="242"/>
        </w:trPr>
        <w:tc>
          <w:tcPr>
            <w:tcW w:w="996" w:type="pct"/>
            <w:tcBorders>
              <w:top w:val="single" w:sz="4" w:space="0" w:color="006666"/>
              <w:left w:val="single" w:sz="4" w:space="0" w:color="006666"/>
              <w:bottom w:val="single" w:sz="4" w:space="0" w:color="006666"/>
              <w:right w:val="single" w:sz="4" w:space="0" w:color="006666"/>
            </w:tcBorders>
          </w:tcPr>
          <w:p w14:paraId="7E4FCF8E" w14:textId="17BCA4DA" w:rsidR="008D0EFF" w:rsidRPr="00F7369B" w:rsidRDefault="008D0EFF" w:rsidP="0047087C">
            <w:pPr>
              <w:spacing w:before="0" w:after="0"/>
              <w:jc w:val="left"/>
              <w:rPr>
                <w:rFonts w:cs="Calibri"/>
                <w:color w:val="000000"/>
                <w:sz w:val="22"/>
                <w:szCs w:val="22"/>
              </w:rPr>
            </w:pPr>
            <w:r>
              <w:rPr>
                <w:rFonts w:cs="Calibri"/>
                <w:sz w:val="22"/>
                <w:szCs w:val="22"/>
              </w:rPr>
              <w:t>West Berkshire</w:t>
            </w:r>
          </w:p>
        </w:tc>
        <w:tc>
          <w:tcPr>
            <w:tcW w:w="938" w:type="pct"/>
            <w:tcBorders>
              <w:top w:val="single" w:sz="4" w:space="0" w:color="006666"/>
              <w:left w:val="single" w:sz="4" w:space="0" w:color="006666"/>
              <w:bottom w:val="single" w:sz="4" w:space="0" w:color="006666"/>
              <w:right w:val="single" w:sz="4" w:space="0" w:color="006666"/>
            </w:tcBorders>
            <w:noWrap/>
          </w:tcPr>
          <w:p w14:paraId="6DC17F23" w14:textId="363A86BD" w:rsidR="008D0EFF" w:rsidRPr="00F7369B" w:rsidRDefault="008D0EFF" w:rsidP="008D0EFF">
            <w:pPr>
              <w:spacing w:before="0" w:after="0"/>
              <w:jc w:val="center"/>
              <w:rPr>
                <w:rFonts w:cs="Calibri"/>
                <w:color w:val="000000"/>
                <w:sz w:val="22"/>
                <w:szCs w:val="22"/>
              </w:rPr>
            </w:pPr>
            <w:r w:rsidRPr="00F7369B">
              <w:rPr>
                <w:rFonts w:cs="Calibri"/>
                <w:color w:val="000000"/>
                <w:sz w:val="22"/>
                <w:szCs w:val="22"/>
              </w:rPr>
              <w:t>163</w:t>
            </w:r>
          </w:p>
        </w:tc>
        <w:tc>
          <w:tcPr>
            <w:tcW w:w="843" w:type="pct"/>
            <w:tcBorders>
              <w:top w:val="single" w:sz="4" w:space="0" w:color="006666"/>
              <w:left w:val="single" w:sz="4" w:space="0" w:color="006666"/>
              <w:bottom w:val="single" w:sz="4" w:space="0" w:color="006666"/>
              <w:right w:val="single" w:sz="4" w:space="0" w:color="006666"/>
            </w:tcBorders>
            <w:noWrap/>
          </w:tcPr>
          <w:p w14:paraId="33375F4C" w14:textId="53FDC830" w:rsidR="008D0EFF" w:rsidRPr="00F7369B" w:rsidRDefault="008D0EFF" w:rsidP="008D0EFF">
            <w:pPr>
              <w:spacing w:before="0" w:after="0"/>
              <w:jc w:val="center"/>
              <w:rPr>
                <w:rFonts w:cs="Calibri"/>
                <w:color w:val="000000"/>
                <w:sz w:val="22"/>
                <w:szCs w:val="22"/>
              </w:rPr>
            </w:pPr>
            <w:r w:rsidRPr="00F7369B">
              <w:rPr>
                <w:rFonts w:cs="Calibri"/>
                <w:color w:val="000000"/>
                <w:sz w:val="22"/>
                <w:szCs w:val="22"/>
              </w:rPr>
              <w:t>87</w:t>
            </w:r>
          </w:p>
        </w:tc>
        <w:tc>
          <w:tcPr>
            <w:tcW w:w="926" w:type="pct"/>
            <w:tcBorders>
              <w:top w:val="single" w:sz="4" w:space="0" w:color="006666"/>
              <w:left w:val="single" w:sz="4" w:space="0" w:color="006666"/>
              <w:bottom w:val="single" w:sz="4" w:space="0" w:color="006666"/>
              <w:right w:val="single" w:sz="4" w:space="0" w:color="006666"/>
            </w:tcBorders>
            <w:noWrap/>
          </w:tcPr>
          <w:p w14:paraId="6E4FAA91" w14:textId="7286B57A" w:rsidR="008D0EFF" w:rsidRPr="00F7369B" w:rsidRDefault="008D0EFF" w:rsidP="008D0EFF">
            <w:pPr>
              <w:spacing w:before="0" w:after="0"/>
              <w:jc w:val="center"/>
              <w:rPr>
                <w:rFonts w:cs="Calibri"/>
                <w:color w:val="000000"/>
                <w:sz w:val="22"/>
                <w:szCs w:val="22"/>
              </w:rPr>
            </w:pPr>
            <w:r w:rsidRPr="00F7369B">
              <w:rPr>
                <w:rFonts w:cs="Calibri"/>
                <w:color w:val="000000"/>
                <w:sz w:val="22"/>
                <w:szCs w:val="22"/>
              </w:rPr>
              <w:t>24</w:t>
            </w:r>
          </w:p>
        </w:tc>
        <w:tc>
          <w:tcPr>
            <w:tcW w:w="1297" w:type="pct"/>
            <w:tcBorders>
              <w:top w:val="single" w:sz="4" w:space="0" w:color="006666"/>
              <w:left w:val="single" w:sz="4" w:space="0" w:color="006666"/>
              <w:bottom w:val="single" w:sz="4" w:space="0" w:color="006666"/>
              <w:right w:val="single" w:sz="4" w:space="0" w:color="006666"/>
            </w:tcBorders>
            <w:noWrap/>
          </w:tcPr>
          <w:p w14:paraId="014F7337" w14:textId="05A71F04" w:rsidR="008D0EFF" w:rsidRPr="00F7369B" w:rsidRDefault="008D0EFF" w:rsidP="008D0EFF">
            <w:pPr>
              <w:spacing w:before="0" w:after="0"/>
              <w:jc w:val="center"/>
              <w:rPr>
                <w:rFonts w:cs="Calibri"/>
                <w:color w:val="000000"/>
                <w:sz w:val="22"/>
                <w:szCs w:val="22"/>
              </w:rPr>
            </w:pPr>
            <w:r w:rsidRPr="00F7369B">
              <w:rPr>
                <w:rFonts w:cs="Calibri"/>
                <w:color w:val="000000"/>
                <w:sz w:val="22"/>
                <w:szCs w:val="22"/>
              </w:rPr>
              <w:t>52</w:t>
            </w:r>
          </w:p>
        </w:tc>
      </w:tr>
    </w:tbl>
    <w:p w14:paraId="0BD91A62" w14:textId="73ED6F0D" w:rsidR="007525B2" w:rsidRPr="00D85759" w:rsidRDefault="00A91655" w:rsidP="007525B2">
      <w:pPr>
        <w:tabs>
          <w:tab w:val="left" w:pos="709"/>
        </w:tabs>
      </w:pPr>
      <w:r>
        <w:rPr>
          <w:sz w:val="20"/>
          <w:szCs w:val="20"/>
        </w:rPr>
        <w:t xml:space="preserve">Source: </w:t>
      </w:r>
      <w:r w:rsidR="007525B2" w:rsidRPr="00D85759">
        <w:rPr>
          <w:sz w:val="20"/>
          <w:szCs w:val="20"/>
        </w:rPr>
        <w:t xml:space="preserve">2011 Census </w:t>
      </w:r>
    </w:p>
    <w:p w14:paraId="22D5E916" w14:textId="77777777" w:rsidR="007525B2" w:rsidRPr="008B00E8" w:rsidRDefault="007525B2" w:rsidP="007525B2">
      <w:pPr>
        <w:tabs>
          <w:tab w:val="left" w:pos="709"/>
        </w:tabs>
        <w:ind w:left="349"/>
      </w:pPr>
    </w:p>
    <w:p w14:paraId="035BAF69" w14:textId="2E0CC9B6" w:rsidR="007525B2" w:rsidRPr="000E3984" w:rsidRDefault="007525B2" w:rsidP="0014458C">
      <w:pPr>
        <w:pStyle w:val="Reporttext"/>
      </w:pPr>
      <w:r w:rsidRPr="000E3984">
        <w:t>Table 4.1c provides an analysis of people and household</w:t>
      </w:r>
      <w:r w:rsidR="00BF0AEC">
        <w:t xml:space="preserve"> number</w:t>
      </w:r>
      <w:r w:rsidRPr="000E3984">
        <w:t xml:space="preserve">s and shows that the average household size is </w:t>
      </w:r>
      <w:r w:rsidR="00BF0AEC">
        <w:t>2.59</w:t>
      </w:r>
      <w:r w:rsidRPr="000E3984">
        <w:t xml:space="preserve"> persons for Gypsies and Travellers in </w:t>
      </w:r>
      <w:r w:rsidR="00EE6DA0">
        <w:t>West Berkshire</w:t>
      </w:r>
      <w:r w:rsidR="00C93C7D">
        <w:t xml:space="preserve"> </w:t>
      </w:r>
      <w:r w:rsidR="00473EAA">
        <w:t>District</w:t>
      </w:r>
      <w:r w:rsidRPr="000E3984">
        <w:t xml:space="preserve">. This compares with an average household size of 2.3 (down from 2.4 in 2001) for the UK as a whole and looking at all households. There is some variation in the average Gypsy and Traveller household size between accommodation types however, with an average of </w:t>
      </w:r>
      <w:r w:rsidR="00BF0AEC">
        <w:t>3</w:t>
      </w:r>
      <w:r w:rsidR="00A91655">
        <w:t xml:space="preserve"> </w:t>
      </w:r>
      <w:r w:rsidRPr="000E3984">
        <w:t xml:space="preserve">persons per household in houses/bungalows compared with </w:t>
      </w:r>
      <w:r w:rsidR="00BF0AEC">
        <w:t>1.6</w:t>
      </w:r>
      <w:r w:rsidRPr="000E3984">
        <w:t xml:space="preserve"> persons per household in flats/maisonettes/apartments and </w:t>
      </w:r>
      <w:r w:rsidR="00BF0AEC">
        <w:t>2.7</w:t>
      </w:r>
      <w:r w:rsidRPr="000E3984">
        <w:t xml:space="preserve"> persons per household in caravans/mobiles.</w:t>
      </w:r>
    </w:p>
    <w:p w14:paraId="6F650E62" w14:textId="77777777" w:rsidR="007525B2" w:rsidRPr="00D85759" w:rsidRDefault="007525B2" w:rsidP="007525B2">
      <w:pPr>
        <w:spacing w:before="0" w:after="0"/>
        <w:jc w:val="left"/>
        <w:rPr>
          <w:rFonts w:cs="Arial"/>
        </w:rPr>
      </w:pP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A0" w:firstRow="1" w:lastRow="0" w:firstColumn="1" w:lastColumn="0" w:noHBand="0" w:noVBand="0"/>
      </w:tblPr>
      <w:tblGrid>
        <w:gridCol w:w="1915"/>
        <w:gridCol w:w="1766"/>
        <w:gridCol w:w="1276"/>
        <w:gridCol w:w="2126"/>
        <w:gridCol w:w="2097"/>
      </w:tblGrid>
      <w:tr w:rsidR="008D0EFF" w:rsidRPr="008D0EFF" w14:paraId="0FE2EFA0" w14:textId="77777777" w:rsidTr="008D0EFF">
        <w:tc>
          <w:tcPr>
            <w:tcW w:w="5000" w:type="pct"/>
            <w:gridSpan w:val="5"/>
            <w:tcBorders>
              <w:top w:val="single" w:sz="4" w:space="0" w:color="006666"/>
              <w:left w:val="single" w:sz="4" w:space="0" w:color="006666"/>
              <w:bottom w:val="single" w:sz="4" w:space="0" w:color="006666"/>
              <w:right w:val="single" w:sz="4" w:space="0" w:color="006666"/>
            </w:tcBorders>
            <w:shd w:val="clear" w:color="auto" w:fill="009999"/>
          </w:tcPr>
          <w:p w14:paraId="12E5AB22" w14:textId="37F85023" w:rsidR="008D0EFF" w:rsidRPr="008D0EFF" w:rsidRDefault="008D0EFF" w:rsidP="007525B2">
            <w:pPr>
              <w:pStyle w:val="tableheading"/>
              <w:rPr>
                <w:szCs w:val="22"/>
              </w:rPr>
            </w:pPr>
            <w:bookmarkStart w:id="138" w:name="_Toc477256979"/>
            <w:bookmarkStart w:id="139" w:name="_Toc457816582"/>
            <w:bookmarkStart w:id="140" w:name="_Toc459646266"/>
            <w:bookmarkStart w:id="141" w:name="_Toc485383278"/>
            <w:bookmarkStart w:id="142" w:name="_Toc510092012"/>
            <w:bookmarkStart w:id="143" w:name="_Toc13845510"/>
            <w:r w:rsidRPr="008D0EFF">
              <w:rPr>
                <w:szCs w:val="22"/>
              </w:rPr>
              <w:t>Table 4.1c</w:t>
            </w:r>
            <w:r w:rsidRPr="008D0EFF">
              <w:rPr>
                <w:szCs w:val="22"/>
              </w:rPr>
              <w:tab/>
              <w:t xml:space="preserve">People per Household, Calculation by </w:t>
            </w:r>
            <w:bookmarkEnd w:id="138"/>
            <w:r w:rsidRPr="008D0EFF">
              <w:rPr>
                <w:szCs w:val="22"/>
              </w:rPr>
              <w:t>Accommodation Type</w:t>
            </w:r>
            <w:bookmarkEnd w:id="139"/>
            <w:bookmarkEnd w:id="140"/>
            <w:bookmarkEnd w:id="141"/>
            <w:bookmarkEnd w:id="142"/>
            <w:bookmarkEnd w:id="143"/>
          </w:p>
        </w:tc>
      </w:tr>
      <w:tr w:rsidR="008D0EFF" w:rsidRPr="008D0EFF" w14:paraId="408BC548" w14:textId="77777777" w:rsidTr="0047087C">
        <w:tc>
          <w:tcPr>
            <w:tcW w:w="1043" w:type="pct"/>
            <w:tcBorders>
              <w:top w:val="single" w:sz="4" w:space="0" w:color="006666"/>
              <w:left w:val="single" w:sz="4" w:space="0" w:color="006666"/>
              <w:bottom w:val="single" w:sz="4" w:space="0" w:color="006666"/>
              <w:right w:val="single" w:sz="4" w:space="0" w:color="006666"/>
            </w:tcBorders>
            <w:shd w:val="clear" w:color="auto" w:fill="009999"/>
            <w:vAlign w:val="bottom"/>
          </w:tcPr>
          <w:p w14:paraId="100BCABC" w14:textId="6975D5BC" w:rsidR="008D0EFF" w:rsidRPr="008D0EFF" w:rsidRDefault="008D0EFF" w:rsidP="0047087C">
            <w:pPr>
              <w:spacing w:before="0" w:after="0"/>
              <w:jc w:val="left"/>
              <w:rPr>
                <w:rFonts w:cs="Arial"/>
                <w:b/>
                <w:color w:val="FFFFFF"/>
                <w:sz w:val="22"/>
                <w:szCs w:val="22"/>
              </w:rPr>
            </w:pPr>
            <w:r>
              <w:rPr>
                <w:b/>
                <w:color w:val="FFFFFF"/>
                <w:sz w:val="22"/>
              </w:rPr>
              <w:t>District</w:t>
            </w:r>
          </w:p>
        </w:tc>
        <w:tc>
          <w:tcPr>
            <w:tcW w:w="962"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100F906A" w14:textId="11F8C78B" w:rsidR="008D0EFF" w:rsidRPr="008D0EFF" w:rsidRDefault="008D0EFF" w:rsidP="0047087C">
            <w:pPr>
              <w:spacing w:before="0" w:after="0"/>
              <w:jc w:val="center"/>
              <w:rPr>
                <w:rFonts w:cs="Arial"/>
                <w:b/>
                <w:color w:val="FFFFFF"/>
                <w:sz w:val="22"/>
                <w:szCs w:val="22"/>
              </w:rPr>
            </w:pPr>
            <w:r w:rsidRPr="008D0EFF">
              <w:rPr>
                <w:rFonts w:cs="Arial"/>
                <w:b/>
                <w:color w:val="FFFFFF"/>
                <w:sz w:val="22"/>
                <w:szCs w:val="22"/>
              </w:rPr>
              <w:t>Total: Accommodation type</w:t>
            </w:r>
          </w:p>
        </w:tc>
        <w:tc>
          <w:tcPr>
            <w:tcW w:w="695"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4023EA54" w14:textId="77777777" w:rsidR="008D0EFF" w:rsidRPr="008D0EFF" w:rsidRDefault="008D0EFF" w:rsidP="0047087C">
            <w:pPr>
              <w:spacing w:before="0" w:after="0"/>
              <w:jc w:val="center"/>
              <w:rPr>
                <w:rFonts w:cs="Arial"/>
                <w:b/>
                <w:color w:val="FFFFFF"/>
                <w:sz w:val="22"/>
                <w:szCs w:val="22"/>
              </w:rPr>
            </w:pPr>
            <w:r w:rsidRPr="008D0EFF">
              <w:rPr>
                <w:rFonts w:cs="Arial"/>
                <w:b/>
                <w:color w:val="FFFFFF"/>
                <w:sz w:val="22"/>
                <w:szCs w:val="22"/>
              </w:rPr>
              <w:t>House or bungalow</w:t>
            </w:r>
          </w:p>
        </w:tc>
        <w:tc>
          <w:tcPr>
            <w:tcW w:w="1158"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3CE17EB8" w14:textId="77777777" w:rsidR="008D0EFF" w:rsidRPr="008D0EFF" w:rsidRDefault="008D0EFF" w:rsidP="0047087C">
            <w:pPr>
              <w:spacing w:before="0" w:after="0"/>
              <w:jc w:val="center"/>
              <w:rPr>
                <w:rFonts w:cs="Arial"/>
                <w:b/>
                <w:color w:val="FFFFFF"/>
                <w:sz w:val="22"/>
                <w:szCs w:val="22"/>
              </w:rPr>
            </w:pPr>
            <w:r w:rsidRPr="008D0EFF">
              <w:rPr>
                <w:rFonts w:cs="Arial"/>
                <w:b/>
                <w:color w:val="FFFFFF"/>
                <w:sz w:val="22"/>
                <w:szCs w:val="22"/>
              </w:rPr>
              <w:t>A flat, maisonette or apartment</w:t>
            </w:r>
          </w:p>
        </w:tc>
        <w:tc>
          <w:tcPr>
            <w:tcW w:w="1142"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31C72965" w14:textId="77777777" w:rsidR="008D0EFF" w:rsidRPr="008D0EFF" w:rsidRDefault="008D0EFF" w:rsidP="0047087C">
            <w:pPr>
              <w:spacing w:before="0" w:after="0"/>
              <w:jc w:val="center"/>
              <w:rPr>
                <w:rFonts w:cs="Arial"/>
                <w:b/>
                <w:color w:val="FFFFFF"/>
                <w:sz w:val="22"/>
                <w:szCs w:val="22"/>
              </w:rPr>
            </w:pPr>
            <w:r w:rsidRPr="008D0EFF">
              <w:rPr>
                <w:rFonts w:cs="Arial"/>
                <w:b/>
                <w:color w:val="FFFFFF"/>
                <w:sz w:val="22"/>
                <w:szCs w:val="22"/>
              </w:rPr>
              <w:t>A caravan or other mobile or temporary structure</w:t>
            </w:r>
          </w:p>
        </w:tc>
      </w:tr>
      <w:tr w:rsidR="008D0EFF" w:rsidRPr="00D85759" w14:paraId="0C531830" w14:textId="77777777" w:rsidTr="0047087C">
        <w:trPr>
          <w:trHeight w:val="215"/>
        </w:trPr>
        <w:tc>
          <w:tcPr>
            <w:tcW w:w="1043" w:type="pct"/>
            <w:tcBorders>
              <w:top w:val="single" w:sz="4" w:space="0" w:color="006666"/>
              <w:left w:val="single" w:sz="4" w:space="0" w:color="006666"/>
              <w:bottom w:val="single" w:sz="4" w:space="0" w:color="006666"/>
              <w:right w:val="single" w:sz="4" w:space="0" w:color="006666"/>
            </w:tcBorders>
          </w:tcPr>
          <w:p w14:paraId="0C648769" w14:textId="68957392" w:rsidR="008D0EFF" w:rsidRPr="008D0EFF" w:rsidRDefault="008D0EFF" w:rsidP="0047087C">
            <w:pPr>
              <w:spacing w:before="0" w:after="0"/>
              <w:jc w:val="left"/>
              <w:rPr>
                <w:rFonts w:cs="Calibri"/>
                <w:color w:val="000000"/>
                <w:sz w:val="22"/>
                <w:szCs w:val="22"/>
              </w:rPr>
            </w:pPr>
            <w:r>
              <w:rPr>
                <w:rFonts w:cs="Calibri"/>
                <w:sz w:val="22"/>
                <w:szCs w:val="22"/>
              </w:rPr>
              <w:t>West Berkshire</w:t>
            </w:r>
          </w:p>
        </w:tc>
        <w:tc>
          <w:tcPr>
            <w:tcW w:w="962" w:type="pct"/>
            <w:tcBorders>
              <w:top w:val="single" w:sz="4" w:space="0" w:color="006666"/>
              <w:left w:val="single" w:sz="4" w:space="0" w:color="006666"/>
              <w:bottom w:val="single" w:sz="4" w:space="0" w:color="006666"/>
              <w:right w:val="single" w:sz="4" w:space="0" w:color="006666"/>
            </w:tcBorders>
            <w:noWrap/>
            <w:vAlign w:val="bottom"/>
          </w:tcPr>
          <w:p w14:paraId="4D1C40D5" w14:textId="2F6D3A5B" w:rsidR="008D0EFF" w:rsidRPr="008D0EFF" w:rsidRDefault="008D0EFF" w:rsidP="008D0EFF">
            <w:pPr>
              <w:spacing w:before="0" w:after="0"/>
              <w:jc w:val="center"/>
              <w:rPr>
                <w:rFonts w:cs="Arial"/>
                <w:color w:val="000000"/>
                <w:sz w:val="22"/>
                <w:szCs w:val="22"/>
              </w:rPr>
            </w:pPr>
            <w:r w:rsidRPr="008D0EFF">
              <w:rPr>
                <w:rFonts w:cs="Calibri"/>
                <w:color w:val="000000"/>
                <w:sz w:val="22"/>
                <w:szCs w:val="22"/>
              </w:rPr>
              <w:t>2.59</w:t>
            </w:r>
          </w:p>
        </w:tc>
        <w:tc>
          <w:tcPr>
            <w:tcW w:w="695" w:type="pct"/>
            <w:tcBorders>
              <w:top w:val="single" w:sz="4" w:space="0" w:color="006666"/>
              <w:left w:val="single" w:sz="4" w:space="0" w:color="006666"/>
              <w:bottom w:val="single" w:sz="4" w:space="0" w:color="006666"/>
              <w:right w:val="single" w:sz="4" w:space="0" w:color="006666"/>
            </w:tcBorders>
            <w:noWrap/>
            <w:vAlign w:val="bottom"/>
          </w:tcPr>
          <w:p w14:paraId="4FF017E0" w14:textId="6E03FEE9" w:rsidR="008D0EFF" w:rsidRPr="008D0EFF" w:rsidRDefault="008D0EFF" w:rsidP="008D0EFF">
            <w:pPr>
              <w:spacing w:before="0" w:after="0"/>
              <w:jc w:val="center"/>
              <w:rPr>
                <w:rFonts w:cs="Arial"/>
                <w:color w:val="000000"/>
                <w:sz w:val="22"/>
                <w:szCs w:val="22"/>
              </w:rPr>
            </w:pPr>
            <w:r w:rsidRPr="008D0EFF">
              <w:rPr>
                <w:rFonts w:cs="Calibri"/>
                <w:color w:val="000000"/>
                <w:sz w:val="22"/>
                <w:szCs w:val="22"/>
              </w:rPr>
              <w:t>3.00</w:t>
            </w:r>
          </w:p>
        </w:tc>
        <w:tc>
          <w:tcPr>
            <w:tcW w:w="1158" w:type="pct"/>
            <w:tcBorders>
              <w:top w:val="single" w:sz="4" w:space="0" w:color="006666"/>
              <w:left w:val="single" w:sz="4" w:space="0" w:color="006666"/>
              <w:bottom w:val="single" w:sz="4" w:space="0" w:color="006666"/>
              <w:right w:val="single" w:sz="4" w:space="0" w:color="006666"/>
            </w:tcBorders>
            <w:noWrap/>
            <w:vAlign w:val="bottom"/>
          </w:tcPr>
          <w:p w14:paraId="48D0C6D0" w14:textId="2A572D1A" w:rsidR="008D0EFF" w:rsidRPr="008D0EFF" w:rsidRDefault="008D0EFF" w:rsidP="008D0EFF">
            <w:pPr>
              <w:spacing w:before="0" w:after="0"/>
              <w:jc w:val="center"/>
              <w:rPr>
                <w:rFonts w:cs="Arial"/>
                <w:color w:val="000000"/>
                <w:sz w:val="22"/>
                <w:szCs w:val="22"/>
              </w:rPr>
            </w:pPr>
            <w:r w:rsidRPr="008D0EFF">
              <w:rPr>
                <w:rFonts w:cs="Calibri"/>
                <w:color w:val="000000"/>
                <w:sz w:val="22"/>
                <w:szCs w:val="22"/>
              </w:rPr>
              <w:t>1.60</w:t>
            </w:r>
          </w:p>
        </w:tc>
        <w:tc>
          <w:tcPr>
            <w:tcW w:w="1142" w:type="pct"/>
            <w:tcBorders>
              <w:top w:val="single" w:sz="4" w:space="0" w:color="006666"/>
              <w:left w:val="single" w:sz="4" w:space="0" w:color="006666"/>
              <w:bottom w:val="single" w:sz="4" w:space="0" w:color="006666"/>
              <w:right w:val="single" w:sz="4" w:space="0" w:color="006666"/>
            </w:tcBorders>
            <w:noWrap/>
            <w:vAlign w:val="bottom"/>
          </w:tcPr>
          <w:p w14:paraId="0C67FC9F" w14:textId="6D6A0D0B" w:rsidR="008D0EFF" w:rsidRPr="00BF0AEC" w:rsidRDefault="008D0EFF" w:rsidP="008D0EFF">
            <w:pPr>
              <w:spacing w:before="0" w:after="0"/>
              <w:jc w:val="center"/>
              <w:rPr>
                <w:rFonts w:cs="Arial"/>
                <w:color w:val="000000"/>
                <w:sz w:val="22"/>
                <w:szCs w:val="22"/>
              </w:rPr>
            </w:pPr>
            <w:r w:rsidRPr="008D0EFF">
              <w:rPr>
                <w:rFonts w:cs="Calibri"/>
                <w:color w:val="000000"/>
                <w:sz w:val="22"/>
                <w:szCs w:val="22"/>
              </w:rPr>
              <w:t>2.74</w:t>
            </w:r>
          </w:p>
        </w:tc>
      </w:tr>
    </w:tbl>
    <w:p w14:paraId="6AD3944B" w14:textId="77777777" w:rsidR="007525B2" w:rsidRPr="00E83F3E" w:rsidRDefault="007525B2" w:rsidP="007525B2">
      <w:pPr>
        <w:tabs>
          <w:tab w:val="left" w:pos="709"/>
        </w:tabs>
        <w:rPr>
          <w:sz w:val="20"/>
          <w:szCs w:val="20"/>
        </w:rPr>
      </w:pPr>
      <w:r w:rsidRPr="00D85759">
        <w:rPr>
          <w:sz w:val="20"/>
          <w:szCs w:val="20"/>
        </w:rPr>
        <w:t>Source: 2011 Census</w:t>
      </w:r>
    </w:p>
    <w:p w14:paraId="51ECFD8D" w14:textId="77777777" w:rsidR="007525B2" w:rsidRDefault="007525B2" w:rsidP="007525B2">
      <w:pPr>
        <w:tabs>
          <w:tab w:val="left" w:pos="709"/>
        </w:tabs>
      </w:pPr>
    </w:p>
    <w:p w14:paraId="0BC7F141" w14:textId="77777777" w:rsidR="007525B2" w:rsidRPr="002A63D5" w:rsidRDefault="007525B2" w:rsidP="007525B2">
      <w:pPr>
        <w:pStyle w:val="Heading2"/>
      </w:pPr>
      <w:bookmarkStart w:id="144" w:name="_Toc457575047"/>
      <w:bookmarkStart w:id="145" w:name="_Toc417995954"/>
      <w:bookmarkStart w:id="146" w:name="_Toc459646235"/>
      <w:bookmarkStart w:id="147" w:name="_Toc477256936"/>
      <w:bookmarkStart w:id="148" w:name="_Toc485383236"/>
      <w:bookmarkStart w:id="149" w:name="_Toc510091963"/>
      <w:bookmarkStart w:id="150" w:name="_Toc13845475"/>
      <w:r w:rsidRPr="002A63D5">
        <w:t xml:space="preserve">Caravan </w:t>
      </w:r>
      <w:bookmarkEnd w:id="144"/>
      <w:r w:rsidRPr="002A63D5">
        <w:t>Count</w:t>
      </w:r>
      <w:bookmarkEnd w:id="145"/>
      <w:r>
        <w:t xml:space="preserve"> information</w:t>
      </w:r>
      <w:bookmarkEnd w:id="146"/>
      <w:bookmarkEnd w:id="147"/>
      <w:bookmarkEnd w:id="148"/>
      <w:bookmarkEnd w:id="149"/>
      <w:bookmarkEnd w:id="150"/>
    </w:p>
    <w:p w14:paraId="4633F081" w14:textId="187AC54C" w:rsidR="00C45B45" w:rsidRDefault="00C45B45" w:rsidP="0014458C">
      <w:pPr>
        <w:pStyle w:val="Reporttext"/>
      </w:pPr>
      <w:r w:rsidRPr="009D19A4">
        <w:t xml:space="preserve">Snapshot counts of the number of Gypsy and Traveller caravans were requested by the Government in 1979 and have since been </w:t>
      </w:r>
      <w:r>
        <w:t>undertaken bi-annually</w:t>
      </w:r>
      <w:r w:rsidRPr="009D19A4">
        <w:t xml:space="preserve"> by local authorities on a voluntary basis every January and July</w:t>
      </w:r>
      <w:r w:rsidRPr="009D19A4">
        <w:rPr>
          <w:vertAlign w:val="superscript"/>
        </w:rPr>
        <w:footnoteReference w:id="18"/>
      </w:r>
      <w:r w:rsidRPr="009D19A4">
        <w:t>. Their accuracy varies between local authorities and according to how information is included in the process. A major criticism is the non-involvement of Gypsies and Travellers themselves in the counts. However, the counts, conducted on a single day twice a year, are the only systematic source of information on the numbers and distribution of</w:t>
      </w:r>
      <w:r>
        <w:t xml:space="preserve"> Gypsy and Traveller </w:t>
      </w:r>
      <w:r w:rsidR="00840C91">
        <w:t xml:space="preserve">caravans and </w:t>
      </w:r>
      <w:r>
        <w:t xml:space="preserve">trailers. </w:t>
      </w:r>
      <w:r w:rsidRPr="009D19A4">
        <w:t>The counts include caravans (or trailers) on and off authorised sites (i.e. those with planning permission) but do not relate necessarily to the actual number of pitches on sites.</w:t>
      </w:r>
    </w:p>
    <w:p w14:paraId="6E3BD905" w14:textId="19661C73" w:rsidR="0025040A" w:rsidRDefault="0025040A" w:rsidP="0014458C">
      <w:pPr>
        <w:pStyle w:val="Reporttext"/>
      </w:pPr>
      <w:r w:rsidRPr="003B155C">
        <w:t>The latest</w:t>
      </w:r>
      <w:r>
        <w:t xml:space="preserve"> Traveller caravan count</w:t>
      </w:r>
      <w:r w:rsidRPr="003B155C">
        <w:t xml:space="preserve"> figures available are from the </w:t>
      </w:r>
      <w:r w:rsidR="00B851E6">
        <w:t>J</w:t>
      </w:r>
      <w:r w:rsidR="00747925">
        <w:t>uly</w:t>
      </w:r>
      <w:r w:rsidR="00B851E6">
        <w:t xml:space="preserve"> 201</w:t>
      </w:r>
      <w:r w:rsidR="00747925">
        <w:t>8</w:t>
      </w:r>
      <w:r w:rsidRPr="003B155C">
        <w:t xml:space="preserve"> Count of Traveller Caravans (England)</w:t>
      </w:r>
      <w:r w:rsidRPr="003B155C">
        <w:rPr>
          <w:vertAlign w:val="superscript"/>
        </w:rPr>
        <w:footnoteReference w:id="19"/>
      </w:r>
      <w:r w:rsidRPr="003B155C">
        <w:t xml:space="preserve">, which nationally found that: </w:t>
      </w:r>
    </w:p>
    <w:p w14:paraId="110177DC" w14:textId="265A94C4" w:rsidR="00606D61" w:rsidRDefault="00606D61" w:rsidP="00557058">
      <w:pPr>
        <w:pStyle w:val="bullet"/>
      </w:pPr>
      <w:r>
        <w:t>The total number of traveller caravans in England in</w:t>
      </w:r>
      <w:r w:rsidR="00557058">
        <w:t xml:space="preserve"> </w:t>
      </w:r>
      <w:r>
        <w:t>J</w:t>
      </w:r>
      <w:r w:rsidR="00747925">
        <w:t>uly</w:t>
      </w:r>
      <w:r>
        <w:t xml:space="preserve"> 2018 was 22,</w:t>
      </w:r>
      <w:r w:rsidR="00747925">
        <w:t>662</w:t>
      </w:r>
      <w:r w:rsidR="00557058">
        <w:t xml:space="preserve">. This is </w:t>
      </w:r>
      <w:r w:rsidR="00747925">
        <w:t xml:space="preserve">284 fewer than the 22,946 </w:t>
      </w:r>
      <w:r>
        <w:t>reported in January 201</w:t>
      </w:r>
      <w:r w:rsidR="00747925">
        <w:t>8 and 151 fewer that the 22,813 reported in one year previously in July 2017</w:t>
      </w:r>
      <w:r>
        <w:t>.</w:t>
      </w:r>
    </w:p>
    <w:p w14:paraId="3231E872" w14:textId="40AADF33" w:rsidR="00606D61" w:rsidRDefault="00606D61" w:rsidP="00557058">
      <w:pPr>
        <w:pStyle w:val="bullet"/>
      </w:pPr>
      <w:r>
        <w:t>6,</w:t>
      </w:r>
      <w:r w:rsidR="00747925">
        <w:t>576</w:t>
      </w:r>
      <w:r>
        <w:t xml:space="preserve"> caravans were on authorised socially rented sites.</w:t>
      </w:r>
      <w:r w:rsidR="00557058">
        <w:t xml:space="preserve"> </w:t>
      </w:r>
      <w:r>
        <w:t>This is a</w:t>
      </w:r>
      <w:r w:rsidR="00747925">
        <w:t xml:space="preserve"> decrease of</w:t>
      </w:r>
      <w:r>
        <w:t xml:space="preserve"> </w:t>
      </w:r>
      <w:r w:rsidR="00747925">
        <w:t>348</w:t>
      </w:r>
      <w:r w:rsidR="00557058">
        <w:t xml:space="preserve"> since the January 201</w:t>
      </w:r>
      <w:r w:rsidR="00747925">
        <w:t>8</w:t>
      </w:r>
      <w:r w:rsidR="00557058">
        <w:t xml:space="preserve"> count, </w:t>
      </w:r>
      <w:r>
        <w:t>which recorded 6,</w:t>
      </w:r>
      <w:r w:rsidR="00747925">
        <w:t xml:space="preserve">924; and a decrease of </w:t>
      </w:r>
      <w:r w:rsidR="00A60B49">
        <w:t>14</w:t>
      </w:r>
      <w:r w:rsidR="008175CB">
        <w:t>6</w:t>
      </w:r>
      <w:r w:rsidR="00747925">
        <w:t xml:space="preserve"> compared with the July 2017 count, which recorded 6,722</w:t>
      </w:r>
      <w:r>
        <w:t>.</w:t>
      </w:r>
    </w:p>
    <w:p w14:paraId="709D884E" w14:textId="1D1C896B" w:rsidR="00606D61" w:rsidRDefault="00606D61" w:rsidP="00557058">
      <w:pPr>
        <w:pStyle w:val="bullet"/>
      </w:pPr>
      <w:r>
        <w:t>The number of caravans on authorised privately funded</w:t>
      </w:r>
      <w:r w:rsidR="00557058">
        <w:t xml:space="preserve"> </w:t>
      </w:r>
      <w:r>
        <w:t>sites was 1</w:t>
      </w:r>
      <w:r w:rsidR="00747925">
        <w:t>2,993</w:t>
      </w:r>
      <w:r>
        <w:t xml:space="preserve">. This was </w:t>
      </w:r>
      <w:r w:rsidR="00747925">
        <w:t>45 fewer than the 13,038 recorded in January 2018 but 623</w:t>
      </w:r>
      <w:r>
        <w:t xml:space="preserve"> more than the 12,</w:t>
      </w:r>
      <w:r w:rsidR="00747925">
        <w:t>370</w:t>
      </w:r>
      <w:r w:rsidR="00557058">
        <w:t xml:space="preserve"> </w:t>
      </w:r>
      <w:r>
        <w:t>recorded in J</w:t>
      </w:r>
      <w:r w:rsidR="00747925">
        <w:t>uly</w:t>
      </w:r>
      <w:r>
        <w:t xml:space="preserve"> 2017. The number of caravans on</w:t>
      </w:r>
      <w:r w:rsidR="00557058">
        <w:t xml:space="preserve"> </w:t>
      </w:r>
      <w:r>
        <w:t xml:space="preserve">authorised private sites has </w:t>
      </w:r>
      <w:r w:rsidR="00747925">
        <w:t xml:space="preserve">been generally </w:t>
      </w:r>
      <w:r>
        <w:t>increas</w:t>
      </w:r>
      <w:r w:rsidR="00747925">
        <w:t>ing</w:t>
      </w:r>
      <w:r>
        <w:t xml:space="preserve"> each year since </w:t>
      </w:r>
      <w:r w:rsidR="00557058">
        <w:t>2008</w:t>
      </w:r>
      <w:r>
        <w:t>.</w:t>
      </w:r>
    </w:p>
    <w:p w14:paraId="7E10DA9F" w14:textId="4A0A1CB8" w:rsidR="00606D61" w:rsidRDefault="00606D61" w:rsidP="00557058">
      <w:pPr>
        <w:pStyle w:val="bullet"/>
      </w:pPr>
      <w:r>
        <w:t>The number of caravans on unauthorised encampments on land owned by travellers was 2,1</w:t>
      </w:r>
      <w:r w:rsidR="00747925">
        <w:t>4</w:t>
      </w:r>
      <w:r>
        <w:t xml:space="preserve">9. This is </w:t>
      </w:r>
      <w:r w:rsidR="00F33846">
        <w:t>a</w:t>
      </w:r>
      <w:r>
        <w:t xml:space="preserve"> </w:t>
      </w:r>
      <w:r w:rsidR="00747925">
        <w:t>decrease</w:t>
      </w:r>
      <w:r>
        <w:t xml:space="preserve"> of 3</w:t>
      </w:r>
      <w:r w:rsidR="00747925">
        <w:t>0</w:t>
      </w:r>
      <w:r>
        <w:t xml:space="preserve"> compared to the January 201</w:t>
      </w:r>
      <w:r w:rsidR="00747925">
        <w:t>8</w:t>
      </w:r>
      <w:r>
        <w:t xml:space="preserve"> figure of 2,1</w:t>
      </w:r>
      <w:r w:rsidR="00747925">
        <w:t>79; and a decrease of 48 compared with July 2017</w:t>
      </w:r>
      <w:r>
        <w:t>.</w:t>
      </w:r>
    </w:p>
    <w:p w14:paraId="0F9E0005" w14:textId="1DE2C9A9" w:rsidR="00606D61" w:rsidRDefault="00606D61" w:rsidP="00557058">
      <w:pPr>
        <w:pStyle w:val="bullet"/>
      </w:pPr>
      <w:r w:rsidRPr="00FE778B">
        <w:t xml:space="preserve">The number of caravans on </w:t>
      </w:r>
      <w:r w:rsidR="00FE778B" w:rsidRPr="00FE778B">
        <w:t>sites</w:t>
      </w:r>
      <w:r w:rsidRPr="00FE778B">
        <w:t xml:space="preserve"> on land not owned by travellers was </w:t>
      </w:r>
      <w:r w:rsidR="00747925" w:rsidRPr="00FE778B">
        <w:t>944</w:t>
      </w:r>
      <w:r w:rsidRPr="00FE778B">
        <w:t xml:space="preserve">. This was </w:t>
      </w:r>
      <w:r w:rsidR="00FE778B" w:rsidRPr="00FE778B">
        <w:t>139</w:t>
      </w:r>
      <w:r w:rsidRPr="00FE778B">
        <w:t xml:space="preserve"> caravans </w:t>
      </w:r>
      <w:r w:rsidR="00FE778B" w:rsidRPr="00FE778B">
        <w:t>more</w:t>
      </w:r>
      <w:r w:rsidRPr="00FE778B">
        <w:t xml:space="preserve"> than the January 201</w:t>
      </w:r>
      <w:r w:rsidR="00747925" w:rsidRPr="00FE778B">
        <w:t>8</w:t>
      </w:r>
      <w:r w:rsidRPr="00FE778B">
        <w:t xml:space="preserve"> count of </w:t>
      </w:r>
      <w:r w:rsidR="00747925" w:rsidRPr="00FE778B">
        <w:t>805; but markedly</w:t>
      </w:r>
      <w:r w:rsidR="00747925">
        <w:t xml:space="preserve"> lower (by 580) from the 1,524 reported in July 2017</w:t>
      </w:r>
      <w:r>
        <w:t>.</w:t>
      </w:r>
    </w:p>
    <w:p w14:paraId="0F06B0CE" w14:textId="1E6EADBF" w:rsidR="00606D61" w:rsidRPr="007B6CFB" w:rsidRDefault="00606D61" w:rsidP="00557058">
      <w:pPr>
        <w:pStyle w:val="bullet"/>
      </w:pPr>
      <w:r>
        <w:t>Overall, the J</w:t>
      </w:r>
      <w:r w:rsidR="00747925">
        <w:t>uly</w:t>
      </w:r>
      <w:r>
        <w:t xml:space="preserve"> 2018 count indicated that 8</w:t>
      </w:r>
      <w:r w:rsidR="00747925">
        <w:t>6.4</w:t>
      </w:r>
      <w:r>
        <w:t xml:space="preserve"> per cent of traveller caravans in </w:t>
      </w:r>
      <w:r w:rsidRPr="00557058">
        <w:t xml:space="preserve">England </w:t>
      </w:r>
      <w:r w:rsidRPr="007B6CFB">
        <w:t>were on authorised land and that 13</w:t>
      </w:r>
      <w:r w:rsidR="00747925">
        <w:t>.6</w:t>
      </w:r>
      <w:r w:rsidRPr="007B6CFB">
        <w:t xml:space="preserve"> per cent were on unauthorised land.</w:t>
      </w:r>
    </w:p>
    <w:p w14:paraId="52AB457A" w14:textId="460D5976" w:rsidR="00B96083" w:rsidRPr="007B6CFB" w:rsidRDefault="00B96083" w:rsidP="0014458C">
      <w:pPr>
        <w:pStyle w:val="Reporttext"/>
      </w:pPr>
      <w:r w:rsidRPr="007B6CFB">
        <w:t xml:space="preserve">The figures for the last </w:t>
      </w:r>
      <w:r w:rsidR="00747925">
        <w:t>eight</w:t>
      </w:r>
      <w:r w:rsidRPr="007B6CFB">
        <w:t xml:space="preserve"> Traveller caravan counts for </w:t>
      </w:r>
      <w:r w:rsidR="00EE6DA0">
        <w:t>West Berkshire</w:t>
      </w:r>
      <w:r w:rsidRPr="007B6CFB">
        <w:t xml:space="preserve"> </w:t>
      </w:r>
      <w:r w:rsidR="007B6CFB" w:rsidRPr="007B6CFB">
        <w:t xml:space="preserve">District </w:t>
      </w:r>
      <w:r w:rsidRPr="007B6CFB">
        <w:t xml:space="preserve">are set out in Table 4.2. This shows that an average of </w:t>
      </w:r>
      <w:r w:rsidR="002333B0" w:rsidRPr="007B6CFB">
        <w:t xml:space="preserve">around </w:t>
      </w:r>
      <w:r w:rsidR="00EC1387">
        <w:t>77</w:t>
      </w:r>
      <w:r w:rsidRPr="007B6CFB">
        <w:t xml:space="preserve"> caravans have been recorded on sites across the </w:t>
      </w:r>
      <w:r w:rsidR="00EE6DA0">
        <w:t>West Berkshire</w:t>
      </w:r>
      <w:r w:rsidR="002333B0" w:rsidRPr="007B6CFB">
        <w:t xml:space="preserve"> </w:t>
      </w:r>
      <w:r w:rsidR="00473EAA" w:rsidRPr="007B6CFB">
        <w:t>District</w:t>
      </w:r>
      <w:r w:rsidR="007B6CFB" w:rsidRPr="007B6CFB">
        <w:t xml:space="preserve"> area during the </w:t>
      </w:r>
      <w:r w:rsidR="00747925">
        <w:t>eight</w:t>
      </w:r>
      <w:r w:rsidRPr="007B6CFB">
        <w:t xml:space="preserve">-count period. </w:t>
      </w:r>
      <w:r w:rsidR="00747925">
        <w:t>Virtually all (99.6%) a</w:t>
      </w:r>
      <w:r w:rsidRPr="007B6CFB">
        <w:t>re on authorised s</w:t>
      </w:r>
      <w:r w:rsidR="00EB0658" w:rsidRPr="007B6CFB">
        <w:t xml:space="preserve">ites with planning permission. Of these, </w:t>
      </w:r>
      <w:r w:rsidR="00747925">
        <w:t xml:space="preserve">22.7% </w:t>
      </w:r>
      <w:r w:rsidRPr="007B6CFB">
        <w:t xml:space="preserve">are on </w:t>
      </w:r>
      <w:r w:rsidR="007B6CFB" w:rsidRPr="007B6CFB">
        <w:t xml:space="preserve">social-rented sites </w:t>
      </w:r>
      <w:r w:rsidRPr="007B6CFB">
        <w:t xml:space="preserve">and </w:t>
      </w:r>
      <w:r w:rsidR="00747925">
        <w:t>76.9%</w:t>
      </w:r>
      <w:r w:rsidR="00994031" w:rsidRPr="007B6CFB">
        <w:t xml:space="preserve"> are </w:t>
      </w:r>
      <w:r w:rsidRPr="007B6CFB">
        <w:t xml:space="preserve">on </w:t>
      </w:r>
      <w:r w:rsidR="007B6CFB" w:rsidRPr="007B6CFB">
        <w:t>private sites</w:t>
      </w:r>
      <w:r w:rsidR="00FE778B">
        <w:t xml:space="preserve">. </w:t>
      </w:r>
      <w:r w:rsidR="00EC1387">
        <w:t>Very few</w:t>
      </w:r>
      <w:r w:rsidRPr="007B6CFB">
        <w:t xml:space="preserve"> caravans </w:t>
      </w:r>
      <w:r w:rsidR="00EC1387">
        <w:t>have been recorded</w:t>
      </w:r>
      <w:r w:rsidRPr="007B6CFB">
        <w:t xml:space="preserve"> on unauthorised sites, without planning permission</w:t>
      </w:r>
      <w:r w:rsidR="007B6CFB" w:rsidRPr="007B6CFB">
        <w:t>.</w:t>
      </w:r>
    </w:p>
    <w:p w14:paraId="0F95296C" w14:textId="52FE624C" w:rsidR="00B96083" w:rsidRPr="00E45598" w:rsidRDefault="00B96083" w:rsidP="00B96083">
      <w:pPr>
        <w:spacing w:before="0" w:after="0"/>
        <w:jc w:val="left"/>
        <w:rPr>
          <w:color w:val="FF0000"/>
        </w:rPr>
      </w:pP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557"/>
        <w:gridCol w:w="1773"/>
        <w:gridCol w:w="1862"/>
        <w:gridCol w:w="1954"/>
        <w:gridCol w:w="1034"/>
      </w:tblGrid>
      <w:tr w:rsidR="00B96083" w:rsidRPr="003E6544" w14:paraId="31943748" w14:textId="77777777" w:rsidTr="0025040A">
        <w:tc>
          <w:tcPr>
            <w:tcW w:w="5000" w:type="pct"/>
            <w:gridSpan w:val="5"/>
            <w:tcBorders>
              <w:top w:val="single" w:sz="4" w:space="0" w:color="006666"/>
              <w:left w:val="single" w:sz="4" w:space="0" w:color="006666"/>
              <w:bottom w:val="single" w:sz="4" w:space="0" w:color="006666"/>
              <w:right w:val="single" w:sz="4" w:space="0" w:color="006666"/>
            </w:tcBorders>
            <w:shd w:val="clear" w:color="auto" w:fill="009999"/>
            <w:hideMark/>
          </w:tcPr>
          <w:p w14:paraId="6862CE60" w14:textId="1B72B007" w:rsidR="00B96083" w:rsidRPr="003E6544" w:rsidRDefault="00B96083" w:rsidP="003E6544">
            <w:pPr>
              <w:pStyle w:val="tableheading"/>
              <w:rPr>
                <w:bCs/>
                <w:lang w:eastAsia="en-GB"/>
              </w:rPr>
            </w:pPr>
            <w:r w:rsidRPr="003E6544">
              <w:rPr>
                <w:b w:val="0"/>
                <w:color w:val="FFFFFF"/>
              </w:rPr>
              <w:br w:type="page"/>
            </w:r>
            <w:bookmarkStart w:id="151" w:name="_Toc405800809"/>
            <w:bookmarkStart w:id="152" w:name="_Toc417751668"/>
            <w:bookmarkStart w:id="153" w:name="_Toc459646268"/>
            <w:bookmarkStart w:id="154" w:name="_Toc477256980"/>
            <w:bookmarkStart w:id="155" w:name="_Toc485383279"/>
            <w:bookmarkStart w:id="156" w:name="_Toc504315908"/>
            <w:bookmarkStart w:id="157" w:name="_Toc510092013"/>
            <w:bookmarkStart w:id="158" w:name="_Toc13845511"/>
            <w:r w:rsidRPr="003E6544">
              <w:t>Table 4.2</w:t>
            </w:r>
            <w:r w:rsidRPr="003E6544">
              <w:tab/>
              <w:t xml:space="preserve">Bi-annual Traveller caravan count figures </w:t>
            </w:r>
            <w:bookmarkEnd w:id="151"/>
            <w:bookmarkEnd w:id="152"/>
            <w:bookmarkEnd w:id="153"/>
            <w:bookmarkEnd w:id="154"/>
            <w:r w:rsidRPr="003E6544">
              <w:t xml:space="preserve">January 2015 to </w:t>
            </w:r>
            <w:bookmarkEnd w:id="155"/>
            <w:bookmarkEnd w:id="156"/>
            <w:bookmarkEnd w:id="157"/>
            <w:r w:rsidR="00557058" w:rsidRPr="003E6544">
              <w:t>J</w:t>
            </w:r>
            <w:r w:rsidR="00747925">
              <w:t>uly</w:t>
            </w:r>
            <w:r w:rsidR="00557058" w:rsidRPr="003E6544">
              <w:t xml:space="preserve"> 2018</w:t>
            </w:r>
            <w:bookmarkEnd w:id="158"/>
          </w:p>
        </w:tc>
      </w:tr>
      <w:tr w:rsidR="00B96083" w:rsidRPr="003E6544" w14:paraId="338136C4" w14:textId="77777777" w:rsidTr="003E6544">
        <w:tc>
          <w:tcPr>
            <w:tcW w:w="1393" w:type="pct"/>
            <w:vMerge w:val="restar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1E19890B" w14:textId="1BFD9419" w:rsidR="00B96083" w:rsidRPr="003E6544" w:rsidRDefault="00EE6DA0" w:rsidP="003E6544">
            <w:pPr>
              <w:spacing w:before="0" w:after="0"/>
              <w:jc w:val="left"/>
              <w:rPr>
                <w:rFonts w:cs="Calibri"/>
                <w:b/>
                <w:bCs/>
                <w:color w:val="FFFFFF"/>
                <w:sz w:val="22"/>
                <w:szCs w:val="22"/>
                <w:lang w:eastAsia="en-GB"/>
              </w:rPr>
            </w:pPr>
            <w:r w:rsidRPr="003E6544">
              <w:rPr>
                <w:rFonts w:cs="Calibri"/>
                <w:b/>
                <w:bCs/>
                <w:color w:val="FFFFFF"/>
                <w:sz w:val="22"/>
                <w:szCs w:val="22"/>
                <w:lang w:eastAsia="en-GB"/>
              </w:rPr>
              <w:t>West Berkshire</w:t>
            </w:r>
            <w:r w:rsidR="00B96083" w:rsidRPr="003E6544">
              <w:rPr>
                <w:rFonts w:cs="Calibri"/>
                <w:b/>
                <w:bCs/>
                <w:color w:val="FFFFFF"/>
                <w:sz w:val="22"/>
                <w:szCs w:val="22"/>
                <w:lang w:eastAsia="en-GB"/>
              </w:rPr>
              <w:t xml:space="preserve"> Count</w:t>
            </w:r>
          </w:p>
        </w:tc>
        <w:tc>
          <w:tcPr>
            <w:tcW w:w="1980" w:type="pct"/>
            <w:gridSpan w:val="2"/>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54AB3433"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Authorised sites with planning permission</w:t>
            </w:r>
          </w:p>
        </w:tc>
        <w:tc>
          <w:tcPr>
            <w:tcW w:w="1064"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46FE7420"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Unauthorised sites without planning permission</w:t>
            </w:r>
          </w:p>
        </w:tc>
        <w:tc>
          <w:tcPr>
            <w:tcW w:w="563" w:type="pct"/>
            <w:vMerge w:val="restar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2AB9C32C"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Total</w:t>
            </w:r>
          </w:p>
        </w:tc>
      </w:tr>
      <w:tr w:rsidR="00B96083" w:rsidRPr="003E6544" w14:paraId="59B4AFA0" w14:textId="77777777" w:rsidTr="003E6544">
        <w:tc>
          <w:tcPr>
            <w:tcW w:w="1393" w:type="pct"/>
            <w:vMerge/>
            <w:tcBorders>
              <w:top w:val="single" w:sz="4" w:space="0" w:color="006666"/>
              <w:left w:val="single" w:sz="4" w:space="0" w:color="006666"/>
              <w:bottom w:val="single" w:sz="4" w:space="0" w:color="006666"/>
              <w:right w:val="single" w:sz="4" w:space="0" w:color="006666"/>
            </w:tcBorders>
            <w:vAlign w:val="center"/>
            <w:hideMark/>
          </w:tcPr>
          <w:p w14:paraId="7F1ED77D" w14:textId="77777777" w:rsidR="00B96083" w:rsidRPr="003E6544" w:rsidRDefault="00B96083" w:rsidP="003E6544">
            <w:pPr>
              <w:spacing w:before="0" w:after="0"/>
              <w:jc w:val="left"/>
              <w:rPr>
                <w:rFonts w:cs="Calibri"/>
                <w:b/>
                <w:bCs/>
                <w:color w:val="FFFFFF"/>
                <w:sz w:val="22"/>
                <w:szCs w:val="22"/>
                <w:lang w:eastAsia="en-GB"/>
              </w:rPr>
            </w:pPr>
          </w:p>
        </w:tc>
        <w:tc>
          <w:tcPr>
            <w:tcW w:w="966"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5D3DD1E4"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Social Rented</w:t>
            </w:r>
          </w:p>
        </w:tc>
        <w:tc>
          <w:tcPr>
            <w:tcW w:w="1014"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27A9FEDB"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Total Private</w:t>
            </w:r>
          </w:p>
        </w:tc>
        <w:tc>
          <w:tcPr>
            <w:tcW w:w="1064"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3FA2E808" w14:textId="77777777" w:rsidR="00B96083" w:rsidRPr="003E6544" w:rsidRDefault="00B96083" w:rsidP="003E6544">
            <w:pPr>
              <w:spacing w:before="0" w:after="0"/>
              <w:jc w:val="center"/>
              <w:rPr>
                <w:rFonts w:cs="Calibri"/>
                <w:b/>
                <w:color w:val="FFFFFF"/>
                <w:sz w:val="22"/>
                <w:szCs w:val="22"/>
                <w:lang w:eastAsia="en-GB"/>
              </w:rPr>
            </w:pPr>
            <w:r w:rsidRPr="003E6544">
              <w:rPr>
                <w:rFonts w:cs="Calibri"/>
                <w:b/>
                <w:color w:val="FFFFFF"/>
                <w:sz w:val="22"/>
                <w:szCs w:val="22"/>
                <w:lang w:eastAsia="en-GB"/>
              </w:rPr>
              <w:t>Total Unauthorised</w:t>
            </w:r>
          </w:p>
        </w:tc>
        <w:tc>
          <w:tcPr>
            <w:tcW w:w="563" w:type="pct"/>
            <w:vMerge/>
            <w:tcBorders>
              <w:top w:val="single" w:sz="4" w:space="0" w:color="006666"/>
              <w:left w:val="single" w:sz="4" w:space="0" w:color="006666"/>
              <w:bottom w:val="single" w:sz="4" w:space="0" w:color="006666"/>
              <w:right w:val="single" w:sz="4" w:space="0" w:color="006666"/>
            </w:tcBorders>
            <w:vAlign w:val="center"/>
            <w:hideMark/>
          </w:tcPr>
          <w:p w14:paraId="67AC57E4" w14:textId="77777777" w:rsidR="00B96083" w:rsidRPr="003E6544" w:rsidRDefault="00B96083" w:rsidP="003E6544">
            <w:pPr>
              <w:spacing w:before="0" w:after="0"/>
              <w:jc w:val="left"/>
              <w:rPr>
                <w:rFonts w:cs="Calibri"/>
                <w:b/>
                <w:bCs/>
                <w:color w:val="FFFFFF"/>
                <w:sz w:val="22"/>
                <w:szCs w:val="22"/>
                <w:lang w:eastAsia="en-GB"/>
              </w:rPr>
            </w:pPr>
          </w:p>
        </w:tc>
      </w:tr>
      <w:tr w:rsidR="00EC1387" w:rsidRPr="003E6544" w14:paraId="504C70D8" w14:textId="77777777" w:rsidTr="003E6544">
        <w:tc>
          <w:tcPr>
            <w:tcW w:w="1393" w:type="pct"/>
            <w:tcBorders>
              <w:top w:val="single" w:sz="4" w:space="0" w:color="006666"/>
              <w:left w:val="single" w:sz="4" w:space="0" w:color="006666"/>
              <w:bottom w:val="single" w:sz="4" w:space="0" w:color="006666"/>
              <w:right w:val="single" w:sz="4" w:space="0" w:color="006666"/>
            </w:tcBorders>
          </w:tcPr>
          <w:p w14:paraId="03C27940" w14:textId="77777777" w:rsidR="00EC1387" w:rsidRPr="003E6544" w:rsidRDefault="00EC1387" w:rsidP="003E6544">
            <w:pPr>
              <w:spacing w:before="0" w:after="0"/>
              <w:jc w:val="left"/>
              <w:rPr>
                <w:rFonts w:cs="Calibri"/>
                <w:color w:val="000000"/>
                <w:sz w:val="22"/>
                <w:szCs w:val="22"/>
                <w:lang w:eastAsia="en-GB"/>
              </w:rPr>
            </w:pPr>
            <w:r w:rsidRPr="003E6544">
              <w:rPr>
                <w:rFonts w:cs="Calibri"/>
                <w:color w:val="000000"/>
                <w:sz w:val="22"/>
                <w:szCs w:val="22"/>
                <w:lang w:eastAsia="en-GB"/>
              </w:rPr>
              <w:t>Jan 2015</w:t>
            </w:r>
          </w:p>
        </w:tc>
        <w:tc>
          <w:tcPr>
            <w:tcW w:w="966" w:type="pct"/>
            <w:tcBorders>
              <w:top w:val="single" w:sz="4" w:space="0" w:color="006666"/>
              <w:left w:val="single" w:sz="4" w:space="0" w:color="006666"/>
              <w:bottom w:val="single" w:sz="4" w:space="0" w:color="006666"/>
              <w:right w:val="single" w:sz="4" w:space="0" w:color="006666"/>
            </w:tcBorders>
            <w:vAlign w:val="bottom"/>
          </w:tcPr>
          <w:p w14:paraId="56B243D9" w14:textId="0853AA93"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19</w:t>
            </w:r>
          </w:p>
        </w:tc>
        <w:tc>
          <w:tcPr>
            <w:tcW w:w="1014" w:type="pct"/>
            <w:tcBorders>
              <w:top w:val="single" w:sz="4" w:space="0" w:color="006666"/>
              <w:left w:val="single" w:sz="4" w:space="0" w:color="006666"/>
              <w:bottom w:val="single" w:sz="4" w:space="0" w:color="006666"/>
              <w:right w:val="single" w:sz="4" w:space="0" w:color="006666"/>
            </w:tcBorders>
            <w:vAlign w:val="bottom"/>
          </w:tcPr>
          <w:p w14:paraId="0FE1AD22" w14:textId="3FF1ACEC"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54</w:t>
            </w:r>
          </w:p>
        </w:tc>
        <w:tc>
          <w:tcPr>
            <w:tcW w:w="1064" w:type="pct"/>
            <w:tcBorders>
              <w:top w:val="single" w:sz="4" w:space="0" w:color="006666"/>
              <w:left w:val="single" w:sz="4" w:space="0" w:color="006666"/>
              <w:bottom w:val="single" w:sz="4" w:space="0" w:color="006666"/>
              <w:right w:val="single" w:sz="4" w:space="0" w:color="006666"/>
            </w:tcBorders>
            <w:vAlign w:val="bottom"/>
          </w:tcPr>
          <w:p w14:paraId="5FBBA7E6" w14:textId="5473FDB0"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3</w:t>
            </w:r>
          </w:p>
        </w:tc>
        <w:tc>
          <w:tcPr>
            <w:tcW w:w="563" w:type="pct"/>
            <w:tcBorders>
              <w:top w:val="single" w:sz="4" w:space="0" w:color="006666"/>
              <w:left w:val="single" w:sz="4" w:space="0" w:color="006666"/>
              <w:bottom w:val="single" w:sz="4" w:space="0" w:color="006666"/>
              <w:right w:val="single" w:sz="4" w:space="0" w:color="006666"/>
            </w:tcBorders>
            <w:vAlign w:val="bottom"/>
          </w:tcPr>
          <w:p w14:paraId="3D250563" w14:textId="541001E8"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76</w:t>
            </w:r>
          </w:p>
        </w:tc>
      </w:tr>
      <w:tr w:rsidR="00EC1387" w:rsidRPr="003E6544" w14:paraId="56B51B76" w14:textId="77777777" w:rsidTr="003E6544">
        <w:tc>
          <w:tcPr>
            <w:tcW w:w="1393" w:type="pct"/>
            <w:tcBorders>
              <w:top w:val="single" w:sz="4" w:space="0" w:color="006666"/>
              <w:left w:val="single" w:sz="4" w:space="0" w:color="006666"/>
              <w:bottom w:val="single" w:sz="4" w:space="0" w:color="006666"/>
              <w:right w:val="single" w:sz="4" w:space="0" w:color="006666"/>
            </w:tcBorders>
          </w:tcPr>
          <w:p w14:paraId="1F91EC0E" w14:textId="77777777" w:rsidR="00EC1387" w:rsidRPr="003E6544" w:rsidRDefault="00EC1387" w:rsidP="003E6544">
            <w:pPr>
              <w:spacing w:before="0" w:after="0"/>
              <w:jc w:val="left"/>
              <w:rPr>
                <w:rFonts w:cs="Calibri"/>
                <w:color w:val="000000"/>
                <w:sz w:val="22"/>
                <w:szCs w:val="22"/>
                <w:lang w:eastAsia="en-GB"/>
              </w:rPr>
            </w:pPr>
            <w:r w:rsidRPr="003E6544">
              <w:rPr>
                <w:rFonts w:cs="Calibri"/>
                <w:color w:val="000000"/>
                <w:sz w:val="22"/>
                <w:szCs w:val="22"/>
                <w:lang w:eastAsia="en-GB"/>
              </w:rPr>
              <w:t>Jul 2015</w:t>
            </w:r>
          </w:p>
        </w:tc>
        <w:tc>
          <w:tcPr>
            <w:tcW w:w="966" w:type="pct"/>
            <w:tcBorders>
              <w:top w:val="single" w:sz="4" w:space="0" w:color="006666"/>
              <w:left w:val="single" w:sz="4" w:space="0" w:color="006666"/>
              <w:bottom w:val="single" w:sz="4" w:space="0" w:color="006666"/>
              <w:right w:val="single" w:sz="4" w:space="0" w:color="006666"/>
            </w:tcBorders>
            <w:vAlign w:val="bottom"/>
          </w:tcPr>
          <w:p w14:paraId="3C19A9E8" w14:textId="350C5A1E"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21</w:t>
            </w:r>
          </w:p>
        </w:tc>
        <w:tc>
          <w:tcPr>
            <w:tcW w:w="1014" w:type="pct"/>
            <w:tcBorders>
              <w:top w:val="single" w:sz="4" w:space="0" w:color="006666"/>
              <w:left w:val="single" w:sz="4" w:space="0" w:color="006666"/>
              <w:bottom w:val="single" w:sz="4" w:space="0" w:color="006666"/>
              <w:right w:val="single" w:sz="4" w:space="0" w:color="006666"/>
            </w:tcBorders>
            <w:vAlign w:val="bottom"/>
          </w:tcPr>
          <w:p w14:paraId="3F97F46F" w14:textId="1E36E417"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52</w:t>
            </w:r>
          </w:p>
        </w:tc>
        <w:tc>
          <w:tcPr>
            <w:tcW w:w="1064" w:type="pct"/>
            <w:tcBorders>
              <w:top w:val="single" w:sz="4" w:space="0" w:color="006666"/>
              <w:left w:val="single" w:sz="4" w:space="0" w:color="006666"/>
              <w:bottom w:val="single" w:sz="4" w:space="0" w:color="006666"/>
              <w:right w:val="single" w:sz="4" w:space="0" w:color="006666"/>
            </w:tcBorders>
            <w:vAlign w:val="bottom"/>
          </w:tcPr>
          <w:p w14:paraId="43892748" w14:textId="49B5F52C"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0</w:t>
            </w:r>
          </w:p>
        </w:tc>
        <w:tc>
          <w:tcPr>
            <w:tcW w:w="563" w:type="pct"/>
            <w:tcBorders>
              <w:top w:val="single" w:sz="4" w:space="0" w:color="006666"/>
              <w:left w:val="single" w:sz="4" w:space="0" w:color="006666"/>
              <w:bottom w:val="single" w:sz="4" w:space="0" w:color="006666"/>
              <w:right w:val="single" w:sz="4" w:space="0" w:color="006666"/>
            </w:tcBorders>
            <w:vAlign w:val="bottom"/>
          </w:tcPr>
          <w:p w14:paraId="7FB4D0A4" w14:textId="0A08234D"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73</w:t>
            </w:r>
          </w:p>
        </w:tc>
      </w:tr>
      <w:tr w:rsidR="00EC1387" w:rsidRPr="003E6544" w14:paraId="5E609FCC" w14:textId="77777777" w:rsidTr="003E6544">
        <w:tc>
          <w:tcPr>
            <w:tcW w:w="1393" w:type="pct"/>
            <w:tcBorders>
              <w:top w:val="single" w:sz="4" w:space="0" w:color="006666"/>
              <w:left w:val="single" w:sz="4" w:space="0" w:color="006666"/>
              <w:bottom w:val="single" w:sz="4" w:space="0" w:color="006666"/>
              <w:right w:val="single" w:sz="4" w:space="0" w:color="006666"/>
            </w:tcBorders>
          </w:tcPr>
          <w:p w14:paraId="7CEB6FAE" w14:textId="77777777" w:rsidR="00EC1387" w:rsidRPr="003E6544" w:rsidRDefault="00EC1387" w:rsidP="003E6544">
            <w:pPr>
              <w:spacing w:before="0" w:after="0"/>
              <w:jc w:val="left"/>
              <w:rPr>
                <w:rFonts w:cs="Calibri"/>
                <w:color w:val="000000"/>
                <w:sz w:val="22"/>
                <w:szCs w:val="22"/>
                <w:lang w:eastAsia="en-GB"/>
              </w:rPr>
            </w:pPr>
            <w:r w:rsidRPr="003E6544">
              <w:rPr>
                <w:rFonts w:cs="Calibri"/>
                <w:color w:val="000000"/>
                <w:sz w:val="22"/>
                <w:szCs w:val="22"/>
                <w:lang w:eastAsia="en-GB"/>
              </w:rPr>
              <w:t>Jan 2016</w:t>
            </w:r>
          </w:p>
        </w:tc>
        <w:tc>
          <w:tcPr>
            <w:tcW w:w="966" w:type="pct"/>
            <w:tcBorders>
              <w:top w:val="single" w:sz="4" w:space="0" w:color="006666"/>
              <w:left w:val="single" w:sz="4" w:space="0" w:color="006666"/>
              <w:bottom w:val="single" w:sz="4" w:space="0" w:color="006666"/>
              <w:right w:val="single" w:sz="4" w:space="0" w:color="006666"/>
            </w:tcBorders>
            <w:vAlign w:val="bottom"/>
          </w:tcPr>
          <w:p w14:paraId="6F28630A" w14:textId="35E9F2C3"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19</w:t>
            </w:r>
          </w:p>
        </w:tc>
        <w:tc>
          <w:tcPr>
            <w:tcW w:w="1014" w:type="pct"/>
            <w:tcBorders>
              <w:top w:val="single" w:sz="4" w:space="0" w:color="006666"/>
              <w:left w:val="single" w:sz="4" w:space="0" w:color="006666"/>
              <w:bottom w:val="single" w:sz="4" w:space="0" w:color="006666"/>
              <w:right w:val="single" w:sz="4" w:space="0" w:color="006666"/>
            </w:tcBorders>
            <w:vAlign w:val="bottom"/>
          </w:tcPr>
          <w:p w14:paraId="7B6C6825" w14:textId="3AD91781"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54</w:t>
            </w:r>
          </w:p>
        </w:tc>
        <w:tc>
          <w:tcPr>
            <w:tcW w:w="1064" w:type="pct"/>
            <w:tcBorders>
              <w:top w:val="single" w:sz="4" w:space="0" w:color="006666"/>
              <w:left w:val="single" w:sz="4" w:space="0" w:color="006666"/>
              <w:bottom w:val="single" w:sz="4" w:space="0" w:color="006666"/>
              <w:right w:val="single" w:sz="4" w:space="0" w:color="006666"/>
            </w:tcBorders>
            <w:vAlign w:val="bottom"/>
          </w:tcPr>
          <w:p w14:paraId="08E45AD7" w14:textId="648B68B5"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0</w:t>
            </w:r>
          </w:p>
        </w:tc>
        <w:tc>
          <w:tcPr>
            <w:tcW w:w="563" w:type="pct"/>
            <w:tcBorders>
              <w:top w:val="single" w:sz="4" w:space="0" w:color="006666"/>
              <w:left w:val="single" w:sz="4" w:space="0" w:color="006666"/>
              <w:bottom w:val="single" w:sz="4" w:space="0" w:color="006666"/>
              <w:right w:val="single" w:sz="4" w:space="0" w:color="006666"/>
            </w:tcBorders>
            <w:vAlign w:val="bottom"/>
          </w:tcPr>
          <w:p w14:paraId="3B7DA646" w14:textId="753EFC9D"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73</w:t>
            </w:r>
          </w:p>
        </w:tc>
      </w:tr>
      <w:tr w:rsidR="00EC1387" w:rsidRPr="003E6544" w14:paraId="17BFDAC0" w14:textId="77777777" w:rsidTr="003E6544">
        <w:tc>
          <w:tcPr>
            <w:tcW w:w="1393" w:type="pct"/>
            <w:tcBorders>
              <w:top w:val="single" w:sz="4" w:space="0" w:color="006666"/>
              <w:left w:val="single" w:sz="4" w:space="0" w:color="006666"/>
              <w:bottom w:val="single" w:sz="4" w:space="0" w:color="006666"/>
              <w:right w:val="single" w:sz="4" w:space="0" w:color="006666"/>
            </w:tcBorders>
          </w:tcPr>
          <w:p w14:paraId="3BDF432E" w14:textId="77777777" w:rsidR="00EC1387" w:rsidRPr="003E6544" w:rsidRDefault="00EC1387" w:rsidP="003E6544">
            <w:pPr>
              <w:spacing w:before="0" w:after="0"/>
              <w:jc w:val="left"/>
              <w:rPr>
                <w:rFonts w:cs="Calibri"/>
                <w:color w:val="000000"/>
                <w:sz w:val="22"/>
                <w:szCs w:val="22"/>
                <w:lang w:eastAsia="en-GB"/>
              </w:rPr>
            </w:pPr>
            <w:r w:rsidRPr="003E6544">
              <w:rPr>
                <w:rFonts w:cs="Calibri"/>
                <w:color w:val="000000"/>
                <w:sz w:val="22"/>
                <w:szCs w:val="22"/>
                <w:lang w:eastAsia="en-GB"/>
              </w:rPr>
              <w:t>Jul 2016</w:t>
            </w:r>
          </w:p>
        </w:tc>
        <w:tc>
          <w:tcPr>
            <w:tcW w:w="966" w:type="pct"/>
            <w:tcBorders>
              <w:top w:val="single" w:sz="4" w:space="0" w:color="006666"/>
              <w:left w:val="single" w:sz="4" w:space="0" w:color="006666"/>
              <w:bottom w:val="single" w:sz="4" w:space="0" w:color="006666"/>
              <w:right w:val="single" w:sz="4" w:space="0" w:color="006666"/>
            </w:tcBorders>
            <w:vAlign w:val="bottom"/>
          </w:tcPr>
          <w:p w14:paraId="7F210F07" w14:textId="6B12EFB7"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18</w:t>
            </w:r>
          </w:p>
        </w:tc>
        <w:tc>
          <w:tcPr>
            <w:tcW w:w="1014" w:type="pct"/>
            <w:tcBorders>
              <w:top w:val="single" w:sz="4" w:space="0" w:color="006666"/>
              <w:left w:val="single" w:sz="4" w:space="0" w:color="006666"/>
              <w:bottom w:val="single" w:sz="4" w:space="0" w:color="006666"/>
              <w:right w:val="single" w:sz="4" w:space="0" w:color="006666"/>
            </w:tcBorders>
            <w:vAlign w:val="bottom"/>
          </w:tcPr>
          <w:p w14:paraId="324A7F26" w14:textId="35677ED7"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69</w:t>
            </w:r>
          </w:p>
        </w:tc>
        <w:tc>
          <w:tcPr>
            <w:tcW w:w="1064" w:type="pct"/>
            <w:tcBorders>
              <w:top w:val="single" w:sz="4" w:space="0" w:color="006666"/>
              <w:left w:val="single" w:sz="4" w:space="0" w:color="006666"/>
              <w:bottom w:val="single" w:sz="4" w:space="0" w:color="006666"/>
              <w:right w:val="single" w:sz="4" w:space="0" w:color="006666"/>
            </w:tcBorders>
            <w:vAlign w:val="bottom"/>
          </w:tcPr>
          <w:p w14:paraId="6EFC952A" w14:textId="533CCBC8"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0</w:t>
            </w:r>
          </w:p>
        </w:tc>
        <w:tc>
          <w:tcPr>
            <w:tcW w:w="563" w:type="pct"/>
            <w:tcBorders>
              <w:top w:val="single" w:sz="4" w:space="0" w:color="006666"/>
              <w:left w:val="single" w:sz="4" w:space="0" w:color="006666"/>
              <w:bottom w:val="single" w:sz="4" w:space="0" w:color="006666"/>
              <w:right w:val="single" w:sz="4" w:space="0" w:color="006666"/>
            </w:tcBorders>
            <w:vAlign w:val="bottom"/>
          </w:tcPr>
          <w:p w14:paraId="6AF36D95" w14:textId="0C6E035B"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87</w:t>
            </w:r>
          </w:p>
        </w:tc>
      </w:tr>
      <w:tr w:rsidR="00EC1387" w:rsidRPr="003E6544" w14:paraId="03DB6227" w14:textId="77777777" w:rsidTr="003E6544">
        <w:tc>
          <w:tcPr>
            <w:tcW w:w="1393" w:type="pct"/>
            <w:tcBorders>
              <w:top w:val="single" w:sz="4" w:space="0" w:color="006666"/>
              <w:left w:val="single" w:sz="4" w:space="0" w:color="006666"/>
              <w:bottom w:val="single" w:sz="4" w:space="0" w:color="006666"/>
              <w:right w:val="single" w:sz="4" w:space="0" w:color="006666"/>
            </w:tcBorders>
          </w:tcPr>
          <w:p w14:paraId="3637C7B3" w14:textId="77777777" w:rsidR="00EC1387" w:rsidRPr="003E6544" w:rsidRDefault="00EC1387" w:rsidP="003E6544">
            <w:pPr>
              <w:spacing w:before="0" w:after="0"/>
              <w:jc w:val="left"/>
              <w:rPr>
                <w:rFonts w:cs="Calibri"/>
                <w:color w:val="000000"/>
                <w:sz w:val="22"/>
                <w:szCs w:val="22"/>
                <w:lang w:eastAsia="en-GB"/>
              </w:rPr>
            </w:pPr>
            <w:r w:rsidRPr="003E6544">
              <w:rPr>
                <w:rFonts w:cs="Calibri"/>
                <w:color w:val="000000"/>
                <w:sz w:val="22"/>
                <w:szCs w:val="22"/>
                <w:lang w:eastAsia="en-GB"/>
              </w:rPr>
              <w:t>Jan 2017</w:t>
            </w:r>
          </w:p>
        </w:tc>
        <w:tc>
          <w:tcPr>
            <w:tcW w:w="966" w:type="pct"/>
            <w:tcBorders>
              <w:top w:val="single" w:sz="4" w:space="0" w:color="006666"/>
              <w:left w:val="single" w:sz="4" w:space="0" w:color="006666"/>
              <w:bottom w:val="single" w:sz="4" w:space="0" w:color="006666"/>
              <w:right w:val="single" w:sz="4" w:space="0" w:color="006666"/>
            </w:tcBorders>
            <w:vAlign w:val="bottom"/>
          </w:tcPr>
          <w:p w14:paraId="14F4F09A" w14:textId="50832741"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19</w:t>
            </w:r>
          </w:p>
        </w:tc>
        <w:tc>
          <w:tcPr>
            <w:tcW w:w="1014" w:type="pct"/>
            <w:tcBorders>
              <w:top w:val="single" w:sz="4" w:space="0" w:color="006666"/>
              <w:left w:val="single" w:sz="4" w:space="0" w:color="006666"/>
              <w:bottom w:val="single" w:sz="4" w:space="0" w:color="006666"/>
              <w:right w:val="single" w:sz="4" w:space="0" w:color="006666"/>
            </w:tcBorders>
            <w:vAlign w:val="bottom"/>
          </w:tcPr>
          <w:p w14:paraId="13BEFDDE" w14:textId="5E79C2D0"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54</w:t>
            </w:r>
          </w:p>
        </w:tc>
        <w:tc>
          <w:tcPr>
            <w:tcW w:w="1064" w:type="pct"/>
            <w:tcBorders>
              <w:top w:val="single" w:sz="4" w:space="0" w:color="006666"/>
              <w:left w:val="single" w:sz="4" w:space="0" w:color="006666"/>
              <w:bottom w:val="single" w:sz="4" w:space="0" w:color="006666"/>
              <w:right w:val="single" w:sz="4" w:space="0" w:color="006666"/>
            </w:tcBorders>
            <w:vAlign w:val="bottom"/>
          </w:tcPr>
          <w:p w14:paraId="211DF0C9" w14:textId="5E62A44D"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0</w:t>
            </w:r>
          </w:p>
        </w:tc>
        <w:tc>
          <w:tcPr>
            <w:tcW w:w="563" w:type="pct"/>
            <w:tcBorders>
              <w:top w:val="single" w:sz="4" w:space="0" w:color="006666"/>
              <w:left w:val="single" w:sz="4" w:space="0" w:color="006666"/>
              <w:bottom w:val="single" w:sz="4" w:space="0" w:color="006666"/>
              <w:right w:val="single" w:sz="4" w:space="0" w:color="006666"/>
            </w:tcBorders>
            <w:vAlign w:val="bottom"/>
          </w:tcPr>
          <w:p w14:paraId="14AB1F45" w14:textId="73837852" w:rsidR="00EC1387" w:rsidRPr="003E6544" w:rsidRDefault="00EC1387" w:rsidP="003E6544">
            <w:pPr>
              <w:spacing w:before="0" w:after="0"/>
              <w:jc w:val="center"/>
              <w:rPr>
                <w:rFonts w:cs="Calibri"/>
                <w:color w:val="000000"/>
                <w:sz w:val="22"/>
                <w:szCs w:val="22"/>
                <w:lang w:eastAsia="en-GB"/>
              </w:rPr>
            </w:pPr>
            <w:r w:rsidRPr="003E6544">
              <w:rPr>
                <w:rFonts w:cs="Calibri"/>
                <w:bCs/>
                <w:sz w:val="22"/>
                <w:szCs w:val="22"/>
              </w:rPr>
              <w:t>73</w:t>
            </w:r>
          </w:p>
        </w:tc>
      </w:tr>
      <w:tr w:rsidR="00EC1387" w:rsidRPr="003E6544" w14:paraId="7FBFF54B" w14:textId="77777777" w:rsidTr="003E6544">
        <w:tc>
          <w:tcPr>
            <w:tcW w:w="1393" w:type="pct"/>
            <w:tcBorders>
              <w:top w:val="single" w:sz="4" w:space="0" w:color="006666"/>
              <w:left w:val="single" w:sz="4" w:space="0" w:color="006666"/>
              <w:bottom w:val="single" w:sz="4" w:space="0" w:color="006666"/>
              <w:right w:val="single" w:sz="4" w:space="0" w:color="006666"/>
            </w:tcBorders>
          </w:tcPr>
          <w:p w14:paraId="12511B9B" w14:textId="77777777" w:rsidR="00EC1387" w:rsidRPr="003E6544" w:rsidRDefault="00EC1387" w:rsidP="003E6544">
            <w:pPr>
              <w:spacing w:before="0" w:after="0"/>
              <w:jc w:val="left"/>
              <w:rPr>
                <w:rFonts w:cs="Calibri"/>
                <w:color w:val="000000"/>
                <w:sz w:val="22"/>
                <w:szCs w:val="22"/>
                <w:lang w:eastAsia="en-GB"/>
              </w:rPr>
            </w:pPr>
            <w:r w:rsidRPr="003E6544">
              <w:rPr>
                <w:rFonts w:cs="Calibri"/>
                <w:color w:val="000000"/>
                <w:sz w:val="22"/>
                <w:szCs w:val="22"/>
                <w:lang w:eastAsia="en-GB"/>
              </w:rPr>
              <w:t>Jul 2017</w:t>
            </w:r>
          </w:p>
        </w:tc>
        <w:tc>
          <w:tcPr>
            <w:tcW w:w="966" w:type="pct"/>
            <w:tcBorders>
              <w:top w:val="single" w:sz="4" w:space="0" w:color="006666"/>
              <w:left w:val="single" w:sz="4" w:space="0" w:color="006666"/>
              <w:bottom w:val="single" w:sz="4" w:space="0" w:color="006666"/>
              <w:right w:val="single" w:sz="4" w:space="0" w:color="006666"/>
            </w:tcBorders>
            <w:vAlign w:val="bottom"/>
          </w:tcPr>
          <w:p w14:paraId="4C9CCDF1" w14:textId="5285D87B" w:rsidR="00EC1387" w:rsidRPr="003E6544" w:rsidRDefault="00EC1387" w:rsidP="003E6544">
            <w:pPr>
              <w:spacing w:before="0" w:after="0"/>
              <w:jc w:val="center"/>
              <w:rPr>
                <w:rFonts w:cs="Calibri"/>
                <w:bCs/>
                <w:sz w:val="22"/>
                <w:szCs w:val="22"/>
              </w:rPr>
            </w:pPr>
            <w:r w:rsidRPr="003E6544">
              <w:rPr>
                <w:rFonts w:cs="Calibri"/>
                <w:bCs/>
                <w:sz w:val="22"/>
                <w:szCs w:val="22"/>
              </w:rPr>
              <w:t>18</w:t>
            </w:r>
          </w:p>
        </w:tc>
        <w:tc>
          <w:tcPr>
            <w:tcW w:w="1014" w:type="pct"/>
            <w:tcBorders>
              <w:top w:val="single" w:sz="4" w:space="0" w:color="006666"/>
              <w:left w:val="single" w:sz="4" w:space="0" w:color="006666"/>
              <w:bottom w:val="single" w:sz="4" w:space="0" w:color="006666"/>
              <w:right w:val="single" w:sz="4" w:space="0" w:color="006666"/>
            </w:tcBorders>
            <w:vAlign w:val="bottom"/>
          </w:tcPr>
          <w:p w14:paraId="36957F14" w14:textId="0033950F" w:rsidR="00EC1387" w:rsidRPr="003E6544" w:rsidRDefault="00EC1387" w:rsidP="003E6544">
            <w:pPr>
              <w:spacing w:before="0" w:after="0"/>
              <w:jc w:val="center"/>
              <w:rPr>
                <w:rFonts w:cs="Calibri"/>
                <w:bCs/>
                <w:sz w:val="22"/>
                <w:szCs w:val="22"/>
              </w:rPr>
            </w:pPr>
            <w:r w:rsidRPr="003E6544">
              <w:rPr>
                <w:rFonts w:cs="Calibri"/>
                <w:bCs/>
                <w:sz w:val="22"/>
                <w:szCs w:val="22"/>
              </w:rPr>
              <w:t>69</w:t>
            </w:r>
          </w:p>
        </w:tc>
        <w:tc>
          <w:tcPr>
            <w:tcW w:w="1064" w:type="pct"/>
            <w:tcBorders>
              <w:top w:val="single" w:sz="4" w:space="0" w:color="006666"/>
              <w:left w:val="single" w:sz="4" w:space="0" w:color="006666"/>
              <w:bottom w:val="single" w:sz="4" w:space="0" w:color="006666"/>
              <w:right w:val="single" w:sz="4" w:space="0" w:color="006666"/>
            </w:tcBorders>
            <w:vAlign w:val="bottom"/>
          </w:tcPr>
          <w:p w14:paraId="2038E4A8" w14:textId="0946065A" w:rsidR="00EC1387" w:rsidRPr="003E6544" w:rsidRDefault="00EC1387" w:rsidP="003E6544">
            <w:pPr>
              <w:spacing w:before="0" w:after="0"/>
              <w:jc w:val="center"/>
              <w:rPr>
                <w:rFonts w:cs="Calibri"/>
                <w:bCs/>
                <w:sz w:val="22"/>
                <w:szCs w:val="22"/>
              </w:rPr>
            </w:pPr>
            <w:r w:rsidRPr="003E6544">
              <w:rPr>
                <w:rFonts w:cs="Calibri"/>
                <w:bCs/>
                <w:sz w:val="22"/>
                <w:szCs w:val="22"/>
              </w:rPr>
              <w:t>0</w:t>
            </w:r>
          </w:p>
        </w:tc>
        <w:tc>
          <w:tcPr>
            <w:tcW w:w="563" w:type="pct"/>
            <w:tcBorders>
              <w:top w:val="single" w:sz="4" w:space="0" w:color="006666"/>
              <w:left w:val="single" w:sz="4" w:space="0" w:color="006666"/>
              <w:bottom w:val="single" w:sz="4" w:space="0" w:color="006666"/>
              <w:right w:val="single" w:sz="4" w:space="0" w:color="006666"/>
            </w:tcBorders>
            <w:vAlign w:val="bottom"/>
          </w:tcPr>
          <w:p w14:paraId="41A8B1F6" w14:textId="15ABDFD2" w:rsidR="00EC1387" w:rsidRPr="003E6544" w:rsidRDefault="00EC1387" w:rsidP="003E6544">
            <w:pPr>
              <w:spacing w:before="0" w:after="0"/>
              <w:jc w:val="center"/>
              <w:rPr>
                <w:rFonts w:cs="Calibri"/>
                <w:bCs/>
                <w:sz w:val="22"/>
                <w:szCs w:val="22"/>
              </w:rPr>
            </w:pPr>
            <w:r w:rsidRPr="003E6544">
              <w:rPr>
                <w:rFonts w:cs="Calibri"/>
                <w:bCs/>
                <w:sz w:val="22"/>
                <w:szCs w:val="22"/>
              </w:rPr>
              <w:t>87</w:t>
            </w:r>
          </w:p>
        </w:tc>
      </w:tr>
      <w:tr w:rsidR="00EC1387" w:rsidRPr="003E6544" w14:paraId="7FB0FA19" w14:textId="77777777" w:rsidTr="003E6544">
        <w:tc>
          <w:tcPr>
            <w:tcW w:w="1393" w:type="pct"/>
            <w:tcBorders>
              <w:top w:val="single" w:sz="4" w:space="0" w:color="006666"/>
              <w:left w:val="single" w:sz="4" w:space="0" w:color="006666"/>
              <w:bottom w:val="single" w:sz="4" w:space="0" w:color="006666"/>
              <w:right w:val="single" w:sz="4" w:space="0" w:color="006666"/>
            </w:tcBorders>
          </w:tcPr>
          <w:p w14:paraId="6C97022B" w14:textId="207CF62A" w:rsidR="00EC1387" w:rsidRPr="003E6544" w:rsidRDefault="00EC1387" w:rsidP="003E6544">
            <w:pPr>
              <w:spacing w:before="0" w:after="0"/>
              <w:jc w:val="left"/>
              <w:rPr>
                <w:rFonts w:cs="Calibri"/>
                <w:color w:val="000000"/>
                <w:sz w:val="22"/>
                <w:szCs w:val="22"/>
                <w:lang w:eastAsia="en-GB"/>
              </w:rPr>
            </w:pPr>
            <w:r w:rsidRPr="003E6544">
              <w:rPr>
                <w:rFonts w:cs="Calibri"/>
                <w:color w:val="000000"/>
                <w:sz w:val="22"/>
                <w:szCs w:val="22"/>
                <w:lang w:eastAsia="en-GB"/>
              </w:rPr>
              <w:t>Jan 2018</w:t>
            </w:r>
          </w:p>
        </w:tc>
        <w:tc>
          <w:tcPr>
            <w:tcW w:w="966" w:type="pct"/>
            <w:tcBorders>
              <w:top w:val="single" w:sz="4" w:space="0" w:color="006666"/>
              <w:left w:val="single" w:sz="4" w:space="0" w:color="006666"/>
              <w:bottom w:val="single" w:sz="4" w:space="0" w:color="006666"/>
              <w:right w:val="single" w:sz="4" w:space="0" w:color="006666"/>
            </w:tcBorders>
            <w:vAlign w:val="bottom"/>
          </w:tcPr>
          <w:p w14:paraId="783B2B39" w14:textId="73CEC7CA" w:rsidR="00EC1387" w:rsidRPr="003E6544" w:rsidRDefault="00EC1387" w:rsidP="003E6544">
            <w:pPr>
              <w:spacing w:before="0" w:after="0"/>
              <w:jc w:val="center"/>
              <w:rPr>
                <w:rFonts w:cs="Calibri"/>
                <w:bCs/>
                <w:sz w:val="22"/>
                <w:szCs w:val="22"/>
              </w:rPr>
            </w:pPr>
            <w:r w:rsidRPr="003E6544">
              <w:rPr>
                <w:rFonts w:cs="Calibri"/>
                <w:bCs/>
                <w:sz w:val="22"/>
                <w:szCs w:val="22"/>
              </w:rPr>
              <w:t>19</w:t>
            </w:r>
          </w:p>
        </w:tc>
        <w:tc>
          <w:tcPr>
            <w:tcW w:w="1014" w:type="pct"/>
            <w:tcBorders>
              <w:top w:val="single" w:sz="4" w:space="0" w:color="006666"/>
              <w:left w:val="single" w:sz="4" w:space="0" w:color="006666"/>
              <w:bottom w:val="single" w:sz="4" w:space="0" w:color="006666"/>
              <w:right w:val="single" w:sz="4" w:space="0" w:color="006666"/>
            </w:tcBorders>
            <w:vAlign w:val="bottom"/>
          </w:tcPr>
          <w:p w14:paraId="10F61070" w14:textId="55EA1EB7" w:rsidR="00EC1387" w:rsidRPr="003E6544" w:rsidRDefault="00EC1387" w:rsidP="003E6544">
            <w:pPr>
              <w:spacing w:before="0" w:after="0"/>
              <w:jc w:val="center"/>
              <w:rPr>
                <w:rFonts w:cs="Calibri"/>
                <w:bCs/>
                <w:sz w:val="22"/>
                <w:szCs w:val="22"/>
              </w:rPr>
            </w:pPr>
            <w:r w:rsidRPr="003E6544">
              <w:rPr>
                <w:rFonts w:cs="Calibri"/>
                <w:bCs/>
                <w:sz w:val="22"/>
                <w:szCs w:val="22"/>
              </w:rPr>
              <w:t>54</w:t>
            </w:r>
          </w:p>
        </w:tc>
        <w:tc>
          <w:tcPr>
            <w:tcW w:w="1064" w:type="pct"/>
            <w:tcBorders>
              <w:top w:val="single" w:sz="4" w:space="0" w:color="006666"/>
              <w:left w:val="single" w:sz="4" w:space="0" w:color="006666"/>
              <w:bottom w:val="single" w:sz="4" w:space="0" w:color="006666"/>
              <w:right w:val="single" w:sz="4" w:space="0" w:color="006666"/>
            </w:tcBorders>
            <w:vAlign w:val="bottom"/>
          </w:tcPr>
          <w:p w14:paraId="4AE14D5D" w14:textId="5E6E5F25" w:rsidR="00EC1387" w:rsidRPr="003E6544" w:rsidRDefault="00EC1387" w:rsidP="003E6544">
            <w:pPr>
              <w:spacing w:before="0" w:after="0"/>
              <w:jc w:val="center"/>
              <w:rPr>
                <w:rFonts w:cs="Calibri"/>
                <w:bCs/>
                <w:sz w:val="22"/>
                <w:szCs w:val="22"/>
              </w:rPr>
            </w:pPr>
            <w:r w:rsidRPr="003E6544">
              <w:rPr>
                <w:rFonts w:cs="Calibri"/>
                <w:bCs/>
                <w:sz w:val="22"/>
                <w:szCs w:val="22"/>
              </w:rPr>
              <w:t>0</w:t>
            </w:r>
          </w:p>
        </w:tc>
        <w:tc>
          <w:tcPr>
            <w:tcW w:w="563" w:type="pct"/>
            <w:tcBorders>
              <w:top w:val="single" w:sz="4" w:space="0" w:color="006666"/>
              <w:left w:val="single" w:sz="4" w:space="0" w:color="006666"/>
              <w:bottom w:val="single" w:sz="4" w:space="0" w:color="006666"/>
              <w:right w:val="single" w:sz="4" w:space="0" w:color="006666"/>
            </w:tcBorders>
            <w:vAlign w:val="bottom"/>
          </w:tcPr>
          <w:p w14:paraId="4061B6DC" w14:textId="7DB642D8" w:rsidR="00EC1387" w:rsidRPr="003E6544" w:rsidRDefault="00EC1387" w:rsidP="003E6544">
            <w:pPr>
              <w:spacing w:before="0" w:after="0"/>
              <w:jc w:val="center"/>
              <w:rPr>
                <w:rFonts w:cs="Calibri"/>
                <w:bCs/>
                <w:sz w:val="22"/>
                <w:szCs w:val="22"/>
              </w:rPr>
            </w:pPr>
            <w:r w:rsidRPr="003E6544">
              <w:rPr>
                <w:rFonts w:cs="Calibri"/>
                <w:bCs/>
                <w:sz w:val="22"/>
                <w:szCs w:val="22"/>
              </w:rPr>
              <w:t>73</w:t>
            </w:r>
          </w:p>
        </w:tc>
      </w:tr>
      <w:tr w:rsidR="00747925" w:rsidRPr="003E6544" w14:paraId="2585BA2C" w14:textId="77777777" w:rsidTr="003E6544">
        <w:tc>
          <w:tcPr>
            <w:tcW w:w="1393" w:type="pct"/>
            <w:tcBorders>
              <w:top w:val="single" w:sz="4" w:space="0" w:color="006666"/>
              <w:left w:val="single" w:sz="4" w:space="0" w:color="006666"/>
              <w:bottom w:val="single" w:sz="4" w:space="0" w:color="006666"/>
              <w:right w:val="single" w:sz="4" w:space="0" w:color="006666"/>
            </w:tcBorders>
          </w:tcPr>
          <w:p w14:paraId="62E1DA1D" w14:textId="4905340E" w:rsidR="00747925" w:rsidRPr="003E6544" w:rsidRDefault="00747925" w:rsidP="003E6544">
            <w:pPr>
              <w:spacing w:before="0" w:after="0"/>
              <w:jc w:val="left"/>
              <w:rPr>
                <w:rFonts w:cs="Calibri"/>
                <w:color w:val="000000"/>
                <w:sz w:val="22"/>
                <w:szCs w:val="22"/>
                <w:lang w:eastAsia="en-GB"/>
              </w:rPr>
            </w:pPr>
            <w:r>
              <w:rPr>
                <w:rFonts w:cs="Calibri"/>
                <w:color w:val="000000"/>
                <w:sz w:val="22"/>
                <w:szCs w:val="22"/>
                <w:lang w:eastAsia="en-GB"/>
              </w:rPr>
              <w:t>July 2018</w:t>
            </w:r>
          </w:p>
        </w:tc>
        <w:tc>
          <w:tcPr>
            <w:tcW w:w="966" w:type="pct"/>
            <w:tcBorders>
              <w:top w:val="single" w:sz="4" w:space="0" w:color="006666"/>
              <w:left w:val="single" w:sz="4" w:space="0" w:color="006666"/>
              <w:bottom w:val="single" w:sz="4" w:space="0" w:color="006666"/>
              <w:right w:val="single" w:sz="4" w:space="0" w:color="006666"/>
            </w:tcBorders>
            <w:vAlign w:val="bottom"/>
          </w:tcPr>
          <w:p w14:paraId="0D79857F" w14:textId="67AAC6AA" w:rsidR="00747925" w:rsidRPr="003E6544" w:rsidRDefault="00747925" w:rsidP="003E6544">
            <w:pPr>
              <w:spacing w:before="0" w:after="0"/>
              <w:jc w:val="center"/>
              <w:rPr>
                <w:rFonts w:cs="Calibri"/>
                <w:bCs/>
                <w:sz w:val="22"/>
                <w:szCs w:val="22"/>
              </w:rPr>
            </w:pPr>
            <w:r>
              <w:rPr>
                <w:rFonts w:cs="Calibri"/>
                <w:bCs/>
                <w:sz w:val="22"/>
                <w:szCs w:val="22"/>
              </w:rPr>
              <w:t>7</w:t>
            </w:r>
          </w:p>
        </w:tc>
        <w:tc>
          <w:tcPr>
            <w:tcW w:w="1014" w:type="pct"/>
            <w:tcBorders>
              <w:top w:val="single" w:sz="4" w:space="0" w:color="006666"/>
              <w:left w:val="single" w:sz="4" w:space="0" w:color="006666"/>
              <w:bottom w:val="single" w:sz="4" w:space="0" w:color="006666"/>
              <w:right w:val="single" w:sz="4" w:space="0" w:color="006666"/>
            </w:tcBorders>
            <w:vAlign w:val="bottom"/>
          </w:tcPr>
          <w:p w14:paraId="0A030F63" w14:textId="5DC783AE" w:rsidR="00747925" w:rsidRPr="003E6544" w:rsidRDefault="00747925" w:rsidP="003E6544">
            <w:pPr>
              <w:spacing w:before="0" w:after="0"/>
              <w:jc w:val="center"/>
              <w:rPr>
                <w:rFonts w:cs="Calibri"/>
                <w:bCs/>
                <w:sz w:val="22"/>
                <w:szCs w:val="22"/>
              </w:rPr>
            </w:pPr>
            <w:r>
              <w:rPr>
                <w:rFonts w:cs="Calibri"/>
                <w:bCs/>
                <w:sz w:val="22"/>
                <w:szCs w:val="22"/>
              </w:rPr>
              <w:t>69</w:t>
            </w:r>
          </w:p>
        </w:tc>
        <w:tc>
          <w:tcPr>
            <w:tcW w:w="1064" w:type="pct"/>
            <w:tcBorders>
              <w:top w:val="single" w:sz="4" w:space="0" w:color="006666"/>
              <w:left w:val="single" w:sz="4" w:space="0" w:color="006666"/>
              <w:bottom w:val="single" w:sz="4" w:space="0" w:color="006666"/>
              <w:right w:val="single" w:sz="4" w:space="0" w:color="006666"/>
            </w:tcBorders>
            <w:vAlign w:val="bottom"/>
          </w:tcPr>
          <w:p w14:paraId="32720FEC" w14:textId="2FC243B8" w:rsidR="00747925" w:rsidRPr="003E6544" w:rsidRDefault="00747925" w:rsidP="003E6544">
            <w:pPr>
              <w:spacing w:before="0" w:after="0"/>
              <w:jc w:val="center"/>
              <w:rPr>
                <w:rFonts w:cs="Calibri"/>
                <w:bCs/>
                <w:sz w:val="22"/>
                <w:szCs w:val="22"/>
              </w:rPr>
            </w:pPr>
            <w:r>
              <w:rPr>
                <w:rFonts w:cs="Calibri"/>
                <w:bCs/>
                <w:sz w:val="22"/>
                <w:szCs w:val="22"/>
              </w:rPr>
              <w:t>0</w:t>
            </w:r>
          </w:p>
        </w:tc>
        <w:tc>
          <w:tcPr>
            <w:tcW w:w="563" w:type="pct"/>
            <w:tcBorders>
              <w:top w:val="single" w:sz="4" w:space="0" w:color="006666"/>
              <w:left w:val="single" w:sz="4" w:space="0" w:color="006666"/>
              <w:bottom w:val="single" w:sz="4" w:space="0" w:color="006666"/>
              <w:right w:val="single" w:sz="4" w:space="0" w:color="006666"/>
            </w:tcBorders>
            <w:vAlign w:val="bottom"/>
          </w:tcPr>
          <w:p w14:paraId="5CD9AB19" w14:textId="5E803D67" w:rsidR="00747925" w:rsidRPr="003E6544" w:rsidRDefault="00747925" w:rsidP="003E6544">
            <w:pPr>
              <w:spacing w:before="0" w:after="0"/>
              <w:jc w:val="center"/>
              <w:rPr>
                <w:rFonts w:cs="Calibri"/>
                <w:bCs/>
                <w:sz w:val="22"/>
                <w:szCs w:val="22"/>
              </w:rPr>
            </w:pPr>
            <w:r>
              <w:rPr>
                <w:rFonts w:cs="Calibri"/>
                <w:bCs/>
                <w:sz w:val="22"/>
                <w:szCs w:val="22"/>
              </w:rPr>
              <w:t>76</w:t>
            </w:r>
          </w:p>
        </w:tc>
      </w:tr>
      <w:tr w:rsidR="00896903" w:rsidRPr="003E6544" w14:paraId="2C77F67D" w14:textId="77777777" w:rsidTr="003E6544">
        <w:tc>
          <w:tcPr>
            <w:tcW w:w="1393" w:type="pct"/>
            <w:tcBorders>
              <w:top w:val="single" w:sz="4" w:space="0" w:color="006666"/>
              <w:left w:val="single" w:sz="4" w:space="0" w:color="006666"/>
              <w:bottom w:val="single" w:sz="4" w:space="0" w:color="006666"/>
              <w:right w:val="single" w:sz="4" w:space="0" w:color="006666"/>
            </w:tcBorders>
            <w:hideMark/>
          </w:tcPr>
          <w:p w14:paraId="023230AA" w14:textId="2899C4AF" w:rsidR="00896903" w:rsidRPr="003E6544" w:rsidRDefault="00747925" w:rsidP="003E6544">
            <w:pPr>
              <w:spacing w:before="0" w:after="0"/>
              <w:jc w:val="left"/>
              <w:rPr>
                <w:rFonts w:cs="Calibri"/>
                <w:color w:val="000000"/>
                <w:sz w:val="22"/>
                <w:szCs w:val="22"/>
                <w:lang w:eastAsia="en-GB"/>
              </w:rPr>
            </w:pPr>
            <w:r>
              <w:rPr>
                <w:rFonts w:cs="Calibri"/>
                <w:b/>
                <w:color w:val="000000"/>
                <w:sz w:val="22"/>
                <w:szCs w:val="22"/>
                <w:lang w:eastAsia="en-GB"/>
              </w:rPr>
              <w:t>Eight</w:t>
            </w:r>
            <w:r w:rsidR="00896903" w:rsidRPr="003E6544">
              <w:rPr>
                <w:rFonts w:cs="Calibri"/>
                <w:b/>
                <w:color w:val="000000"/>
                <w:sz w:val="22"/>
                <w:szCs w:val="22"/>
                <w:lang w:eastAsia="en-GB"/>
              </w:rPr>
              <w:t>-Count Average</w:t>
            </w:r>
          </w:p>
        </w:tc>
        <w:tc>
          <w:tcPr>
            <w:tcW w:w="966" w:type="pct"/>
            <w:tcBorders>
              <w:top w:val="single" w:sz="4" w:space="0" w:color="006666"/>
              <w:left w:val="single" w:sz="4" w:space="0" w:color="006666"/>
              <w:bottom w:val="single" w:sz="4" w:space="0" w:color="006666"/>
              <w:right w:val="single" w:sz="4" w:space="0" w:color="006666"/>
            </w:tcBorders>
          </w:tcPr>
          <w:p w14:paraId="5A81AB52" w14:textId="35F2BB36" w:rsidR="0089690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1</w:t>
            </w:r>
            <w:r w:rsidR="00747925">
              <w:rPr>
                <w:rFonts w:cs="Calibri"/>
                <w:b/>
                <w:color w:val="000000"/>
                <w:sz w:val="22"/>
                <w:szCs w:val="22"/>
                <w:lang w:eastAsia="en-GB"/>
              </w:rPr>
              <w:t>7.5</w:t>
            </w:r>
          </w:p>
        </w:tc>
        <w:tc>
          <w:tcPr>
            <w:tcW w:w="1014" w:type="pct"/>
            <w:tcBorders>
              <w:top w:val="single" w:sz="4" w:space="0" w:color="006666"/>
              <w:left w:val="single" w:sz="4" w:space="0" w:color="006666"/>
              <w:bottom w:val="single" w:sz="4" w:space="0" w:color="006666"/>
              <w:right w:val="single" w:sz="4" w:space="0" w:color="006666"/>
            </w:tcBorders>
          </w:tcPr>
          <w:p w14:paraId="3B964029" w14:textId="03E78CB8" w:rsidR="0089690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5</w:t>
            </w:r>
            <w:r w:rsidR="00747925">
              <w:rPr>
                <w:rFonts w:cs="Calibri"/>
                <w:b/>
                <w:color w:val="000000"/>
                <w:sz w:val="22"/>
                <w:szCs w:val="22"/>
                <w:lang w:eastAsia="en-GB"/>
              </w:rPr>
              <w:t>9.4</w:t>
            </w:r>
          </w:p>
        </w:tc>
        <w:tc>
          <w:tcPr>
            <w:tcW w:w="1064" w:type="pct"/>
            <w:tcBorders>
              <w:top w:val="single" w:sz="4" w:space="0" w:color="006666"/>
              <w:left w:val="single" w:sz="4" w:space="0" w:color="006666"/>
              <w:bottom w:val="single" w:sz="4" w:space="0" w:color="006666"/>
              <w:right w:val="single" w:sz="4" w:space="0" w:color="006666"/>
            </w:tcBorders>
          </w:tcPr>
          <w:p w14:paraId="0E28276F" w14:textId="55817CE8" w:rsidR="0089690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0.4</w:t>
            </w:r>
          </w:p>
        </w:tc>
        <w:tc>
          <w:tcPr>
            <w:tcW w:w="563" w:type="pct"/>
            <w:tcBorders>
              <w:top w:val="single" w:sz="4" w:space="0" w:color="006666"/>
              <w:left w:val="single" w:sz="4" w:space="0" w:color="006666"/>
              <w:bottom w:val="single" w:sz="4" w:space="0" w:color="006666"/>
              <w:right w:val="single" w:sz="4" w:space="0" w:color="006666"/>
            </w:tcBorders>
          </w:tcPr>
          <w:p w14:paraId="357D8C31" w14:textId="6770362E" w:rsidR="0089690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77.</w:t>
            </w:r>
            <w:r w:rsidR="00747925">
              <w:rPr>
                <w:rFonts w:cs="Calibri"/>
                <w:b/>
                <w:color w:val="000000"/>
                <w:sz w:val="22"/>
                <w:szCs w:val="22"/>
                <w:lang w:eastAsia="en-GB"/>
              </w:rPr>
              <w:t>3</w:t>
            </w:r>
          </w:p>
        </w:tc>
      </w:tr>
      <w:tr w:rsidR="00896903" w:rsidRPr="003E6544" w14:paraId="44CF6D46" w14:textId="77777777" w:rsidTr="003E6544">
        <w:tc>
          <w:tcPr>
            <w:tcW w:w="1393" w:type="pct"/>
            <w:tcBorders>
              <w:top w:val="single" w:sz="4" w:space="0" w:color="006666"/>
              <w:left w:val="single" w:sz="4" w:space="0" w:color="006666"/>
              <w:bottom w:val="single" w:sz="4" w:space="0" w:color="006666"/>
              <w:right w:val="single" w:sz="4" w:space="0" w:color="006666"/>
            </w:tcBorders>
            <w:hideMark/>
          </w:tcPr>
          <w:p w14:paraId="1137E637" w14:textId="438FA19D" w:rsidR="00896903" w:rsidRPr="003E6544" w:rsidRDefault="00747925" w:rsidP="003E6544">
            <w:pPr>
              <w:spacing w:before="0" w:after="0"/>
              <w:jc w:val="left"/>
              <w:rPr>
                <w:rFonts w:cs="Calibri"/>
                <w:b/>
                <w:color w:val="000000"/>
                <w:sz w:val="22"/>
                <w:szCs w:val="22"/>
                <w:lang w:eastAsia="en-GB"/>
              </w:rPr>
            </w:pPr>
            <w:r>
              <w:rPr>
                <w:rFonts w:cs="Calibri"/>
                <w:b/>
                <w:color w:val="000000"/>
                <w:sz w:val="22"/>
                <w:szCs w:val="22"/>
                <w:lang w:eastAsia="en-GB"/>
              </w:rPr>
              <w:t>Eight</w:t>
            </w:r>
            <w:r w:rsidR="00896903" w:rsidRPr="003E6544">
              <w:rPr>
                <w:rFonts w:cs="Calibri"/>
                <w:b/>
                <w:color w:val="000000"/>
                <w:sz w:val="22"/>
                <w:szCs w:val="22"/>
                <w:lang w:eastAsia="en-GB"/>
              </w:rPr>
              <w:t>-Count % Average</w:t>
            </w:r>
          </w:p>
        </w:tc>
        <w:tc>
          <w:tcPr>
            <w:tcW w:w="966" w:type="pct"/>
            <w:tcBorders>
              <w:top w:val="single" w:sz="4" w:space="0" w:color="006666"/>
              <w:left w:val="single" w:sz="4" w:space="0" w:color="006666"/>
              <w:bottom w:val="single" w:sz="4" w:space="0" w:color="006666"/>
              <w:right w:val="single" w:sz="4" w:space="0" w:color="006666"/>
            </w:tcBorders>
          </w:tcPr>
          <w:p w14:paraId="2887866D" w14:textId="1D326697" w:rsidR="0089690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2</w:t>
            </w:r>
            <w:r w:rsidR="00747925">
              <w:rPr>
                <w:rFonts w:cs="Calibri"/>
                <w:b/>
                <w:color w:val="000000"/>
                <w:sz w:val="22"/>
                <w:szCs w:val="22"/>
                <w:lang w:eastAsia="en-GB"/>
              </w:rPr>
              <w:t>2.7</w:t>
            </w:r>
            <w:r w:rsidRPr="003E6544">
              <w:rPr>
                <w:rFonts w:cs="Calibri"/>
                <w:b/>
                <w:color w:val="000000"/>
                <w:sz w:val="22"/>
                <w:szCs w:val="22"/>
                <w:lang w:eastAsia="en-GB"/>
              </w:rPr>
              <w:t>%</w:t>
            </w:r>
          </w:p>
        </w:tc>
        <w:tc>
          <w:tcPr>
            <w:tcW w:w="1014" w:type="pct"/>
            <w:tcBorders>
              <w:top w:val="single" w:sz="4" w:space="0" w:color="006666"/>
              <w:left w:val="single" w:sz="4" w:space="0" w:color="006666"/>
              <w:bottom w:val="single" w:sz="4" w:space="0" w:color="006666"/>
              <w:right w:val="single" w:sz="4" w:space="0" w:color="006666"/>
            </w:tcBorders>
          </w:tcPr>
          <w:p w14:paraId="723CD125" w14:textId="7332B26F" w:rsidR="0089690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7</w:t>
            </w:r>
            <w:r w:rsidR="00747925">
              <w:rPr>
                <w:rFonts w:cs="Calibri"/>
                <w:b/>
                <w:color w:val="000000"/>
                <w:sz w:val="22"/>
                <w:szCs w:val="22"/>
                <w:lang w:eastAsia="en-GB"/>
              </w:rPr>
              <w:t>6</w:t>
            </w:r>
            <w:r w:rsidRPr="003E6544">
              <w:rPr>
                <w:rFonts w:cs="Calibri"/>
                <w:b/>
                <w:color w:val="000000"/>
                <w:sz w:val="22"/>
                <w:szCs w:val="22"/>
                <w:lang w:eastAsia="en-GB"/>
              </w:rPr>
              <w:t>.9%</w:t>
            </w:r>
          </w:p>
        </w:tc>
        <w:tc>
          <w:tcPr>
            <w:tcW w:w="1064" w:type="pct"/>
            <w:tcBorders>
              <w:top w:val="single" w:sz="4" w:space="0" w:color="006666"/>
              <w:left w:val="single" w:sz="4" w:space="0" w:color="006666"/>
              <w:bottom w:val="single" w:sz="4" w:space="0" w:color="006666"/>
              <w:right w:val="single" w:sz="4" w:space="0" w:color="006666"/>
            </w:tcBorders>
          </w:tcPr>
          <w:p w14:paraId="22307892" w14:textId="06F821F0" w:rsidR="0089690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0.</w:t>
            </w:r>
            <w:r w:rsidR="00747925">
              <w:rPr>
                <w:rFonts w:cs="Calibri"/>
                <w:b/>
                <w:color w:val="000000"/>
                <w:sz w:val="22"/>
                <w:szCs w:val="22"/>
                <w:lang w:eastAsia="en-GB"/>
              </w:rPr>
              <w:t>5</w:t>
            </w:r>
            <w:r w:rsidRPr="003E6544">
              <w:rPr>
                <w:rFonts w:cs="Calibri"/>
                <w:b/>
                <w:color w:val="000000"/>
                <w:sz w:val="22"/>
                <w:szCs w:val="22"/>
                <w:lang w:eastAsia="en-GB"/>
              </w:rPr>
              <w:t>%</w:t>
            </w:r>
          </w:p>
        </w:tc>
        <w:tc>
          <w:tcPr>
            <w:tcW w:w="563" w:type="pct"/>
            <w:tcBorders>
              <w:top w:val="single" w:sz="4" w:space="0" w:color="006666"/>
              <w:left w:val="single" w:sz="4" w:space="0" w:color="006666"/>
              <w:bottom w:val="single" w:sz="4" w:space="0" w:color="006666"/>
              <w:right w:val="single" w:sz="4" w:space="0" w:color="006666"/>
            </w:tcBorders>
          </w:tcPr>
          <w:p w14:paraId="388E43E5" w14:textId="06FE836D" w:rsidR="0089690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100%</w:t>
            </w:r>
          </w:p>
        </w:tc>
      </w:tr>
    </w:tbl>
    <w:p w14:paraId="64A00266" w14:textId="68A6EB93" w:rsidR="00B96083" w:rsidRPr="00052F0A" w:rsidRDefault="00557058" w:rsidP="00B96083">
      <w:pPr>
        <w:spacing w:before="0" w:after="0"/>
        <w:jc w:val="left"/>
        <w:rPr>
          <w:sz w:val="20"/>
          <w:lang w:eastAsia="en-GB"/>
        </w:rPr>
      </w:pPr>
      <w:r w:rsidRPr="00557058">
        <w:rPr>
          <w:sz w:val="20"/>
          <w:lang w:eastAsia="en-GB"/>
        </w:rPr>
        <w:t>Source: MH</w:t>
      </w:r>
      <w:r w:rsidR="00B96083" w:rsidRPr="00557058">
        <w:rPr>
          <w:sz w:val="20"/>
          <w:lang w:eastAsia="en-GB"/>
        </w:rPr>
        <w:t>CLG Traveller Caravan Count, Live Table 1</w:t>
      </w:r>
      <w:r w:rsidRPr="00557058">
        <w:rPr>
          <w:sz w:val="20"/>
          <w:lang w:eastAsia="en-GB"/>
        </w:rPr>
        <w:t xml:space="preserve"> (J</w:t>
      </w:r>
      <w:r w:rsidR="00747925">
        <w:rPr>
          <w:sz w:val="20"/>
          <w:lang w:eastAsia="en-GB"/>
        </w:rPr>
        <w:t>uly</w:t>
      </w:r>
      <w:r w:rsidRPr="00557058">
        <w:rPr>
          <w:sz w:val="20"/>
          <w:lang w:eastAsia="en-GB"/>
        </w:rPr>
        <w:t xml:space="preserve"> 2018</w:t>
      </w:r>
      <w:r w:rsidR="00B96083" w:rsidRPr="00557058">
        <w:rPr>
          <w:sz w:val="20"/>
          <w:lang w:eastAsia="en-GB"/>
        </w:rPr>
        <w:t>)</w:t>
      </w:r>
    </w:p>
    <w:p w14:paraId="6988F970" w14:textId="77777777" w:rsidR="00B96083" w:rsidRPr="00052F0A" w:rsidRDefault="00B96083" w:rsidP="00B96083">
      <w:pPr>
        <w:spacing w:before="0" w:after="0"/>
        <w:jc w:val="left"/>
        <w:rPr>
          <w:sz w:val="20"/>
          <w:lang w:eastAsia="en-GB"/>
        </w:rPr>
      </w:pPr>
    </w:p>
    <w:p w14:paraId="7B102852" w14:textId="304365CE" w:rsidR="00557058" w:rsidRPr="00C1043F" w:rsidRDefault="00B96083" w:rsidP="0014458C">
      <w:pPr>
        <w:pStyle w:val="Reporttext"/>
      </w:pPr>
      <w:r>
        <w:t xml:space="preserve">In addition to the bi-annual Traveller Caravan Count, there is an annual snapshot count of the number of </w:t>
      </w:r>
      <w:r w:rsidRPr="00C1043F">
        <w:t>Travelling Showpeople caravans, which is undertaken alongside the January count of Gypsy and Traveller caravans (as above). The most recently</w:t>
      </w:r>
      <w:r w:rsidR="00AB3CFC">
        <w:t xml:space="preserve"> </w:t>
      </w:r>
      <w:r w:rsidRPr="00C1043F">
        <w:t>available published</w:t>
      </w:r>
      <w:r w:rsidR="00B851E6" w:rsidRPr="00C1043F">
        <w:t xml:space="preserve"> data is therefore January 2018</w:t>
      </w:r>
      <w:r w:rsidRPr="00C1043F">
        <w:t>. Overall findings include</w:t>
      </w:r>
      <w:r w:rsidR="00557058" w:rsidRPr="00C1043F">
        <w:t xml:space="preserve"> that the total number of Travelling Showpeople caravans counted in January 2018 was 2,859, up 6% from 2,701 in January 2017. This remains lower than the 3,159 caravans counted in January 2015</w:t>
      </w:r>
      <w:r w:rsidRPr="00C1043F">
        <w:rPr>
          <w:rStyle w:val="FootnoteReference"/>
        </w:rPr>
        <w:footnoteReference w:id="20"/>
      </w:r>
      <w:r w:rsidR="00557058" w:rsidRPr="00C1043F">
        <w:t>.</w:t>
      </w:r>
    </w:p>
    <w:p w14:paraId="2E939028" w14:textId="5F72931A" w:rsidR="003E6544" w:rsidRPr="00747925" w:rsidRDefault="00B96083" w:rsidP="00747925">
      <w:pPr>
        <w:pStyle w:val="Reporttext"/>
      </w:pPr>
      <w:r w:rsidRPr="00C1043F">
        <w:t xml:space="preserve">Table 4.3 sets out the data from the last </w:t>
      </w:r>
      <w:r w:rsidR="003A478C" w:rsidRPr="00C1043F">
        <w:t>five</w:t>
      </w:r>
      <w:r w:rsidRPr="00C1043F">
        <w:t xml:space="preserve"> Travelling Show</w:t>
      </w:r>
      <w:r w:rsidR="003A478C" w:rsidRPr="00C1043F">
        <w:t>people caravan counts, 2014-2018</w:t>
      </w:r>
      <w:r w:rsidRPr="00C1043F">
        <w:t xml:space="preserve">, for </w:t>
      </w:r>
      <w:r w:rsidR="00EE6DA0">
        <w:t>West Berkshire</w:t>
      </w:r>
      <w:r w:rsidRPr="00C1043F">
        <w:t xml:space="preserve"> </w:t>
      </w:r>
      <w:r w:rsidR="00473EAA" w:rsidRPr="00C1043F">
        <w:t>District</w:t>
      </w:r>
      <w:r w:rsidRPr="00C1043F">
        <w:t xml:space="preserve">. This shows that </w:t>
      </w:r>
      <w:r w:rsidR="00EC1387">
        <w:t>no</w:t>
      </w:r>
      <w:r w:rsidRPr="00C1043F">
        <w:t xml:space="preserve"> Travelling Showperson caravans were recorded in </w:t>
      </w:r>
      <w:r w:rsidR="008A2DBA" w:rsidRPr="00C1043F">
        <w:t xml:space="preserve">the </w:t>
      </w:r>
      <w:r w:rsidR="00C1043F" w:rsidRPr="00C1043F">
        <w:t xml:space="preserve">five-year </w:t>
      </w:r>
      <w:r w:rsidR="008A2DBA" w:rsidRPr="00C1043F">
        <w:t>period</w:t>
      </w:r>
      <w:r w:rsidRPr="00C1043F">
        <w:t>.</w:t>
      </w:r>
      <w:r w:rsidR="00C1043F" w:rsidRPr="00C1043F">
        <w:t xml:space="preserve"> </w:t>
      </w:r>
    </w:p>
    <w:p w14:paraId="7AF5C60B" w14:textId="77777777" w:rsidR="003E6544" w:rsidRDefault="003E6544">
      <w:pPr>
        <w:spacing w:before="0" w:after="0"/>
        <w:jc w:val="left"/>
        <w:rPr>
          <w:color w:val="FF0000"/>
        </w:rPr>
      </w:pP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557"/>
        <w:gridCol w:w="1774"/>
        <w:gridCol w:w="1498"/>
        <w:gridCol w:w="2317"/>
        <w:gridCol w:w="1034"/>
      </w:tblGrid>
      <w:tr w:rsidR="00B96083" w:rsidRPr="003E6544" w14:paraId="142952E5" w14:textId="77777777" w:rsidTr="0025040A">
        <w:tc>
          <w:tcPr>
            <w:tcW w:w="5000" w:type="pct"/>
            <w:gridSpan w:val="5"/>
            <w:tcBorders>
              <w:top w:val="single" w:sz="4" w:space="0" w:color="006666"/>
              <w:left w:val="single" w:sz="4" w:space="0" w:color="006666"/>
              <w:bottom w:val="single" w:sz="4" w:space="0" w:color="006666"/>
              <w:right w:val="single" w:sz="4" w:space="0" w:color="006666"/>
            </w:tcBorders>
            <w:shd w:val="clear" w:color="auto" w:fill="009999"/>
            <w:hideMark/>
          </w:tcPr>
          <w:p w14:paraId="1A85A576" w14:textId="2C8E6E21" w:rsidR="00B96083" w:rsidRPr="003E6544" w:rsidRDefault="00B96083" w:rsidP="003E6544">
            <w:pPr>
              <w:pStyle w:val="tableheading"/>
              <w:rPr>
                <w:bCs/>
                <w:lang w:eastAsia="en-GB"/>
              </w:rPr>
            </w:pPr>
            <w:r w:rsidRPr="003E6544">
              <w:rPr>
                <w:b w:val="0"/>
                <w:color w:val="FFFFFF"/>
              </w:rPr>
              <w:br w:type="page"/>
            </w:r>
            <w:bookmarkStart w:id="159" w:name="_Toc459646269"/>
            <w:bookmarkStart w:id="160" w:name="_Toc477256981"/>
            <w:bookmarkStart w:id="161" w:name="_Toc485383280"/>
            <w:bookmarkStart w:id="162" w:name="_Toc504315909"/>
            <w:bookmarkStart w:id="163" w:name="_Toc510092014"/>
            <w:bookmarkStart w:id="164" w:name="_Toc13845512"/>
            <w:r w:rsidRPr="003E6544">
              <w:t>Table 4.3</w:t>
            </w:r>
            <w:r w:rsidRPr="003E6544">
              <w:tab/>
              <w:t>Annual Travelling Showpeople caravan count figures January 2014 to January 201</w:t>
            </w:r>
            <w:bookmarkEnd w:id="159"/>
            <w:bookmarkEnd w:id="160"/>
            <w:bookmarkEnd w:id="161"/>
            <w:bookmarkEnd w:id="162"/>
            <w:bookmarkEnd w:id="163"/>
            <w:r w:rsidR="003A478C" w:rsidRPr="003E6544">
              <w:t>8</w:t>
            </w:r>
            <w:bookmarkEnd w:id="164"/>
          </w:p>
        </w:tc>
      </w:tr>
      <w:tr w:rsidR="00B96083" w:rsidRPr="003E6544" w14:paraId="2C42EBC7" w14:textId="77777777" w:rsidTr="0025040A">
        <w:tc>
          <w:tcPr>
            <w:tcW w:w="1393" w:type="pct"/>
            <w:vMerge w:val="restar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105DE96B" w14:textId="3E06A4E0" w:rsidR="00B96083" w:rsidRPr="003E6544" w:rsidRDefault="00EE6DA0" w:rsidP="003E6544">
            <w:pPr>
              <w:spacing w:before="0" w:after="0"/>
              <w:jc w:val="left"/>
              <w:rPr>
                <w:rFonts w:cs="Calibri"/>
                <w:b/>
                <w:bCs/>
                <w:color w:val="FFFFFF"/>
                <w:sz w:val="22"/>
                <w:szCs w:val="22"/>
                <w:lang w:eastAsia="en-GB"/>
              </w:rPr>
            </w:pPr>
            <w:r w:rsidRPr="003E6544">
              <w:rPr>
                <w:rFonts w:cs="Calibri"/>
                <w:b/>
                <w:bCs/>
                <w:color w:val="FFFFFF"/>
                <w:sz w:val="22"/>
                <w:szCs w:val="22"/>
                <w:lang w:eastAsia="en-GB"/>
              </w:rPr>
              <w:t>West Berkshire</w:t>
            </w:r>
            <w:r w:rsidR="00B96083" w:rsidRPr="003E6544">
              <w:rPr>
                <w:rFonts w:cs="Calibri"/>
                <w:b/>
                <w:bCs/>
                <w:color w:val="FFFFFF"/>
                <w:sz w:val="22"/>
                <w:szCs w:val="22"/>
                <w:lang w:eastAsia="en-GB"/>
              </w:rPr>
              <w:t xml:space="preserve"> Count</w:t>
            </w:r>
          </w:p>
        </w:tc>
        <w:tc>
          <w:tcPr>
            <w:tcW w:w="1782" w:type="pct"/>
            <w:gridSpan w:val="2"/>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7DD0799F"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Authorised sites with planning permission</w:t>
            </w:r>
          </w:p>
        </w:tc>
        <w:tc>
          <w:tcPr>
            <w:tcW w:w="1262"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41D6BB1A"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Unauthorised sites without planning permission</w:t>
            </w:r>
          </w:p>
        </w:tc>
        <w:tc>
          <w:tcPr>
            <w:tcW w:w="563" w:type="pct"/>
            <w:vMerge w:val="restar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65D4B57A"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Total</w:t>
            </w:r>
          </w:p>
        </w:tc>
      </w:tr>
      <w:tr w:rsidR="00B96083" w:rsidRPr="003E6544" w14:paraId="518BD916" w14:textId="77777777" w:rsidTr="0025040A">
        <w:tc>
          <w:tcPr>
            <w:tcW w:w="1393" w:type="pct"/>
            <w:vMerge/>
            <w:tcBorders>
              <w:top w:val="single" w:sz="4" w:space="0" w:color="006666"/>
              <w:left w:val="single" w:sz="4" w:space="0" w:color="006666"/>
              <w:bottom w:val="single" w:sz="4" w:space="0" w:color="006666"/>
              <w:right w:val="single" w:sz="4" w:space="0" w:color="006666"/>
            </w:tcBorders>
            <w:vAlign w:val="center"/>
            <w:hideMark/>
          </w:tcPr>
          <w:p w14:paraId="1E5BFEB2" w14:textId="77777777" w:rsidR="00B96083" w:rsidRPr="003E6544" w:rsidRDefault="00B96083" w:rsidP="003E6544">
            <w:pPr>
              <w:spacing w:before="0" w:after="0"/>
              <w:jc w:val="left"/>
              <w:rPr>
                <w:rFonts w:cs="Calibri"/>
                <w:b/>
                <w:bCs/>
                <w:color w:val="FFFFFF"/>
                <w:sz w:val="22"/>
                <w:szCs w:val="22"/>
                <w:lang w:eastAsia="en-GB"/>
              </w:rPr>
            </w:pPr>
          </w:p>
        </w:tc>
        <w:tc>
          <w:tcPr>
            <w:tcW w:w="966"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4A46BE7E"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Social Rented</w:t>
            </w:r>
          </w:p>
        </w:tc>
        <w:tc>
          <w:tcPr>
            <w:tcW w:w="816"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1706BAB9" w14:textId="77777777" w:rsidR="00B96083" w:rsidRPr="003E6544" w:rsidRDefault="00B96083" w:rsidP="003E6544">
            <w:pPr>
              <w:spacing w:before="0" w:after="0"/>
              <w:jc w:val="center"/>
              <w:rPr>
                <w:rFonts w:cs="Calibri"/>
                <w:b/>
                <w:bCs/>
                <w:color w:val="FFFFFF"/>
                <w:sz w:val="22"/>
                <w:szCs w:val="22"/>
                <w:lang w:eastAsia="en-GB"/>
              </w:rPr>
            </w:pPr>
            <w:r w:rsidRPr="003E6544">
              <w:rPr>
                <w:rFonts w:cs="Calibri"/>
                <w:b/>
                <w:bCs/>
                <w:color w:val="FFFFFF"/>
                <w:sz w:val="22"/>
                <w:szCs w:val="22"/>
                <w:lang w:eastAsia="en-GB"/>
              </w:rPr>
              <w:t>Total Private</w:t>
            </w:r>
          </w:p>
        </w:tc>
        <w:tc>
          <w:tcPr>
            <w:tcW w:w="1262" w:type="pct"/>
            <w:tcBorders>
              <w:top w:val="single" w:sz="4" w:space="0" w:color="006666"/>
              <w:left w:val="single" w:sz="4" w:space="0" w:color="006666"/>
              <w:bottom w:val="single" w:sz="4" w:space="0" w:color="006666"/>
              <w:right w:val="single" w:sz="4" w:space="0" w:color="006666"/>
            </w:tcBorders>
            <w:shd w:val="clear" w:color="auto" w:fill="009999"/>
            <w:vAlign w:val="bottom"/>
            <w:hideMark/>
          </w:tcPr>
          <w:p w14:paraId="7836019A" w14:textId="77777777" w:rsidR="00B96083" w:rsidRPr="003E6544" w:rsidRDefault="00B96083" w:rsidP="003E6544">
            <w:pPr>
              <w:spacing w:before="0" w:after="0"/>
              <w:jc w:val="center"/>
              <w:rPr>
                <w:rFonts w:cs="Calibri"/>
                <w:b/>
                <w:color w:val="FFFFFF"/>
                <w:sz w:val="22"/>
                <w:szCs w:val="22"/>
                <w:lang w:eastAsia="en-GB"/>
              </w:rPr>
            </w:pPr>
            <w:r w:rsidRPr="003E6544">
              <w:rPr>
                <w:rFonts w:cs="Calibri"/>
                <w:b/>
                <w:color w:val="FFFFFF"/>
                <w:sz w:val="22"/>
                <w:szCs w:val="22"/>
                <w:lang w:eastAsia="en-GB"/>
              </w:rPr>
              <w:t>Total Unauthorised</w:t>
            </w:r>
          </w:p>
        </w:tc>
        <w:tc>
          <w:tcPr>
            <w:tcW w:w="0" w:type="auto"/>
            <w:vMerge/>
            <w:tcBorders>
              <w:top w:val="single" w:sz="4" w:space="0" w:color="006666"/>
              <w:left w:val="single" w:sz="4" w:space="0" w:color="006666"/>
              <w:bottom w:val="single" w:sz="4" w:space="0" w:color="006666"/>
              <w:right w:val="single" w:sz="4" w:space="0" w:color="006666"/>
            </w:tcBorders>
            <w:vAlign w:val="center"/>
            <w:hideMark/>
          </w:tcPr>
          <w:p w14:paraId="4AE86C34" w14:textId="77777777" w:rsidR="00B96083" w:rsidRPr="003E6544" w:rsidRDefault="00B96083" w:rsidP="003E6544">
            <w:pPr>
              <w:spacing w:before="0" w:after="0"/>
              <w:jc w:val="left"/>
              <w:rPr>
                <w:rFonts w:cs="Calibri"/>
                <w:b/>
                <w:bCs/>
                <w:color w:val="FFFFFF"/>
                <w:sz w:val="22"/>
                <w:szCs w:val="22"/>
                <w:lang w:eastAsia="en-GB"/>
              </w:rPr>
            </w:pPr>
          </w:p>
        </w:tc>
      </w:tr>
      <w:tr w:rsidR="00C1043F" w:rsidRPr="003E6544" w14:paraId="0742AAF6" w14:textId="77777777" w:rsidTr="0025040A">
        <w:tc>
          <w:tcPr>
            <w:tcW w:w="1393" w:type="pct"/>
            <w:tcBorders>
              <w:top w:val="single" w:sz="4" w:space="0" w:color="006666"/>
              <w:left w:val="single" w:sz="4" w:space="0" w:color="006666"/>
              <w:bottom w:val="single" w:sz="4" w:space="0" w:color="006666"/>
              <w:right w:val="single" w:sz="4" w:space="0" w:color="006666"/>
            </w:tcBorders>
          </w:tcPr>
          <w:p w14:paraId="7D1404CB" w14:textId="77777777" w:rsidR="00C1043F" w:rsidRPr="003E6544" w:rsidRDefault="00C1043F" w:rsidP="003E6544">
            <w:pPr>
              <w:spacing w:before="0" w:after="0"/>
              <w:jc w:val="left"/>
              <w:rPr>
                <w:rFonts w:cs="Calibri"/>
                <w:color w:val="000000"/>
                <w:sz w:val="22"/>
                <w:szCs w:val="22"/>
                <w:lang w:eastAsia="en-GB"/>
              </w:rPr>
            </w:pPr>
            <w:r w:rsidRPr="003E6544">
              <w:rPr>
                <w:rFonts w:cs="Calibri"/>
                <w:color w:val="000000"/>
                <w:sz w:val="22"/>
                <w:szCs w:val="22"/>
                <w:lang w:eastAsia="en-GB"/>
              </w:rPr>
              <w:t>2014</w:t>
            </w:r>
          </w:p>
        </w:tc>
        <w:tc>
          <w:tcPr>
            <w:tcW w:w="966" w:type="pct"/>
            <w:tcBorders>
              <w:top w:val="single" w:sz="4" w:space="0" w:color="006666"/>
              <w:left w:val="single" w:sz="4" w:space="0" w:color="006666"/>
              <w:bottom w:val="single" w:sz="4" w:space="0" w:color="006666"/>
              <w:right w:val="single" w:sz="4" w:space="0" w:color="006666"/>
            </w:tcBorders>
          </w:tcPr>
          <w:p w14:paraId="0408DDDB" w14:textId="57CFC9F0"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816" w:type="pct"/>
            <w:tcBorders>
              <w:top w:val="single" w:sz="4" w:space="0" w:color="006666"/>
              <w:left w:val="single" w:sz="4" w:space="0" w:color="006666"/>
              <w:bottom w:val="single" w:sz="4" w:space="0" w:color="006666"/>
              <w:right w:val="single" w:sz="4" w:space="0" w:color="006666"/>
            </w:tcBorders>
          </w:tcPr>
          <w:p w14:paraId="6333C2A5" w14:textId="5982ED54"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1262" w:type="pct"/>
            <w:tcBorders>
              <w:top w:val="single" w:sz="4" w:space="0" w:color="006666"/>
              <w:left w:val="single" w:sz="4" w:space="0" w:color="006666"/>
              <w:bottom w:val="single" w:sz="4" w:space="0" w:color="006666"/>
              <w:right w:val="single" w:sz="4" w:space="0" w:color="006666"/>
            </w:tcBorders>
          </w:tcPr>
          <w:p w14:paraId="53BF1499" w14:textId="0ED793FF"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563" w:type="pct"/>
            <w:tcBorders>
              <w:top w:val="single" w:sz="4" w:space="0" w:color="006666"/>
              <w:left w:val="single" w:sz="4" w:space="0" w:color="006666"/>
              <w:bottom w:val="single" w:sz="4" w:space="0" w:color="006666"/>
              <w:right w:val="single" w:sz="4" w:space="0" w:color="006666"/>
            </w:tcBorders>
          </w:tcPr>
          <w:p w14:paraId="6486178F" w14:textId="7F55675D"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r>
      <w:tr w:rsidR="00C1043F" w:rsidRPr="003E6544" w14:paraId="7860DECE" w14:textId="77777777" w:rsidTr="0025040A">
        <w:tc>
          <w:tcPr>
            <w:tcW w:w="1393" w:type="pct"/>
            <w:tcBorders>
              <w:top w:val="single" w:sz="4" w:space="0" w:color="006666"/>
              <w:left w:val="single" w:sz="4" w:space="0" w:color="006666"/>
              <w:bottom w:val="single" w:sz="4" w:space="0" w:color="006666"/>
              <w:right w:val="single" w:sz="4" w:space="0" w:color="006666"/>
            </w:tcBorders>
          </w:tcPr>
          <w:p w14:paraId="23A542F6" w14:textId="77777777" w:rsidR="00C1043F" w:rsidRPr="003E6544" w:rsidRDefault="00C1043F" w:rsidP="003E6544">
            <w:pPr>
              <w:spacing w:before="0" w:after="0"/>
              <w:jc w:val="left"/>
              <w:rPr>
                <w:rFonts w:cs="Calibri"/>
                <w:color w:val="000000"/>
                <w:sz w:val="22"/>
                <w:szCs w:val="22"/>
                <w:lang w:eastAsia="en-GB"/>
              </w:rPr>
            </w:pPr>
            <w:r w:rsidRPr="003E6544">
              <w:rPr>
                <w:rFonts w:cs="Calibri"/>
                <w:color w:val="000000"/>
                <w:sz w:val="22"/>
                <w:szCs w:val="22"/>
                <w:lang w:eastAsia="en-GB"/>
              </w:rPr>
              <w:t>2015</w:t>
            </w:r>
          </w:p>
        </w:tc>
        <w:tc>
          <w:tcPr>
            <w:tcW w:w="966" w:type="pct"/>
            <w:tcBorders>
              <w:top w:val="single" w:sz="4" w:space="0" w:color="006666"/>
              <w:left w:val="single" w:sz="4" w:space="0" w:color="006666"/>
              <w:bottom w:val="single" w:sz="4" w:space="0" w:color="006666"/>
              <w:right w:val="single" w:sz="4" w:space="0" w:color="006666"/>
            </w:tcBorders>
          </w:tcPr>
          <w:p w14:paraId="16069590" w14:textId="678F4844"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816" w:type="pct"/>
            <w:tcBorders>
              <w:top w:val="single" w:sz="4" w:space="0" w:color="006666"/>
              <w:left w:val="single" w:sz="4" w:space="0" w:color="006666"/>
              <w:bottom w:val="single" w:sz="4" w:space="0" w:color="006666"/>
              <w:right w:val="single" w:sz="4" w:space="0" w:color="006666"/>
            </w:tcBorders>
          </w:tcPr>
          <w:p w14:paraId="15A45FA6" w14:textId="7ED44951"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1262" w:type="pct"/>
            <w:tcBorders>
              <w:top w:val="single" w:sz="4" w:space="0" w:color="006666"/>
              <w:left w:val="single" w:sz="4" w:space="0" w:color="006666"/>
              <w:bottom w:val="single" w:sz="4" w:space="0" w:color="006666"/>
              <w:right w:val="single" w:sz="4" w:space="0" w:color="006666"/>
            </w:tcBorders>
          </w:tcPr>
          <w:p w14:paraId="5DF62ED5" w14:textId="310DA8DB"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563" w:type="pct"/>
            <w:tcBorders>
              <w:top w:val="single" w:sz="4" w:space="0" w:color="006666"/>
              <w:left w:val="single" w:sz="4" w:space="0" w:color="006666"/>
              <w:bottom w:val="single" w:sz="4" w:space="0" w:color="006666"/>
              <w:right w:val="single" w:sz="4" w:space="0" w:color="006666"/>
            </w:tcBorders>
          </w:tcPr>
          <w:p w14:paraId="486F7ED0" w14:textId="2F04CDB3"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r>
      <w:tr w:rsidR="00C1043F" w:rsidRPr="003E6544" w14:paraId="5FACD4AD" w14:textId="77777777" w:rsidTr="0025040A">
        <w:tc>
          <w:tcPr>
            <w:tcW w:w="1393" w:type="pct"/>
            <w:tcBorders>
              <w:top w:val="single" w:sz="4" w:space="0" w:color="006666"/>
              <w:left w:val="single" w:sz="4" w:space="0" w:color="006666"/>
              <w:bottom w:val="single" w:sz="4" w:space="0" w:color="006666"/>
              <w:right w:val="single" w:sz="4" w:space="0" w:color="006666"/>
            </w:tcBorders>
          </w:tcPr>
          <w:p w14:paraId="37507E98" w14:textId="77777777" w:rsidR="00C1043F" w:rsidRPr="003E6544" w:rsidRDefault="00C1043F" w:rsidP="003E6544">
            <w:pPr>
              <w:spacing w:before="0" w:after="0"/>
              <w:jc w:val="left"/>
              <w:rPr>
                <w:rFonts w:cs="Calibri"/>
                <w:color w:val="000000"/>
                <w:sz w:val="22"/>
                <w:szCs w:val="22"/>
                <w:lang w:eastAsia="en-GB"/>
              </w:rPr>
            </w:pPr>
            <w:r w:rsidRPr="003E6544">
              <w:rPr>
                <w:rFonts w:cs="Calibri"/>
                <w:color w:val="000000"/>
                <w:sz w:val="22"/>
                <w:szCs w:val="22"/>
                <w:lang w:eastAsia="en-GB"/>
              </w:rPr>
              <w:t>2016</w:t>
            </w:r>
          </w:p>
        </w:tc>
        <w:tc>
          <w:tcPr>
            <w:tcW w:w="966" w:type="pct"/>
            <w:tcBorders>
              <w:top w:val="single" w:sz="4" w:space="0" w:color="006666"/>
              <w:left w:val="single" w:sz="4" w:space="0" w:color="006666"/>
              <w:bottom w:val="single" w:sz="4" w:space="0" w:color="006666"/>
              <w:right w:val="single" w:sz="4" w:space="0" w:color="006666"/>
            </w:tcBorders>
          </w:tcPr>
          <w:p w14:paraId="26156D81" w14:textId="66541348"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816" w:type="pct"/>
            <w:tcBorders>
              <w:top w:val="single" w:sz="4" w:space="0" w:color="006666"/>
              <w:left w:val="single" w:sz="4" w:space="0" w:color="006666"/>
              <w:bottom w:val="single" w:sz="4" w:space="0" w:color="006666"/>
              <w:right w:val="single" w:sz="4" w:space="0" w:color="006666"/>
            </w:tcBorders>
          </w:tcPr>
          <w:p w14:paraId="1F16B100" w14:textId="4274A765"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1262" w:type="pct"/>
            <w:tcBorders>
              <w:top w:val="single" w:sz="4" w:space="0" w:color="006666"/>
              <w:left w:val="single" w:sz="4" w:space="0" w:color="006666"/>
              <w:bottom w:val="single" w:sz="4" w:space="0" w:color="006666"/>
              <w:right w:val="single" w:sz="4" w:space="0" w:color="006666"/>
            </w:tcBorders>
          </w:tcPr>
          <w:p w14:paraId="44911D40" w14:textId="1046994C"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563" w:type="pct"/>
            <w:tcBorders>
              <w:top w:val="single" w:sz="4" w:space="0" w:color="006666"/>
              <w:left w:val="single" w:sz="4" w:space="0" w:color="006666"/>
              <w:bottom w:val="single" w:sz="4" w:space="0" w:color="006666"/>
              <w:right w:val="single" w:sz="4" w:space="0" w:color="006666"/>
            </w:tcBorders>
          </w:tcPr>
          <w:p w14:paraId="0E1BE856" w14:textId="7F73B6A5"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r>
      <w:tr w:rsidR="00C1043F" w:rsidRPr="003E6544" w14:paraId="6165B384" w14:textId="77777777" w:rsidTr="0025040A">
        <w:tc>
          <w:tcPr>
            <w:tcW w:w="1393" w:type="pct"/>
            <w:tcBorders>
              <w:top w:val="single" w:sz="4" w:space="0" w:color="006666"/>
              <w:left w:val="single" w:sz="4" w:space="0" w:color="006666"/>
              <w:bottom w:val="single" w:sz="4" w:space="0" w:color="006666"/>
              <w:right w:val="single" w:sz="4" w:space="0" w:color="006666"/>
            </w:tcBorders>
          </w:tcPr>
          <w:p w14:paraId="0467DBD9" w14:textId="77777777" w:rsidR="00C1043F" w:rsidRPr="003E6544" w:rsidRDefault="00C1043F" w:rsidP="003E6544">
            <w:pPr>
              <w:spacing w:before="0" w:after="0"/>
              <w:jc w:val="left"/>
              <w:rPr>
                <w:rFonts w:cs="Calibri"/>
                <w:color w:val="000000"/>
                <w:sz w:val="22"/>
                <w:szCs w:val="22"/>
                <w:lang w:eastAsia="en-GB"/>
              </w:rPr>
            </w:pPr>
            <w:r w:rsidRPr="003E6544">
              <w:rPr>
                <w:rFonts w:cs="Calibri"/>
                <w:color w:val="000000"/>
                <w:sz w:val="22"/>
                <w:szCs w:val="22"/>
                <w:lang w:eastAsia="en-GB"/>
              </w:rPr>
              <w:t>2017</w:t>
            </w:r>
          </w:p>
        </w:tc>
        <w:tc>
          <w:tcPr>
            <w:tcW w:w="966" w:type="pct"/>
            <w:tcBorders>
              <w:top w:val="single" w:sz="4" w:space="0" w:color="006666"/>
              <w:left w:val="single" w:sz="4" w:space="0" w:color="006666"/>
              <w:bottom w:val="single" w:sz="4" w:space="0" w:color="006666"/>
              <w:right w:val="single" w:sz="4" w:space="0" w:color="006666"/>
            </w:tcBorders>
          </w:tcPr>
          <w:p w14:paraId="1F69D5FF" w14:textId="1532E76F"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816" w:type="pct"/>
            <w:tcBorders>
              <w:top w:val="single" w:sz="4" w:space="0" w:color="006666"/>
              <w:left w:val="single" w:sz="4" w:space="0" w:color="006666"/>
              <w:bottom w:val="single" w:sz="4" w:space="0" w:color="006666"/>
              <w:right w:val="single" w:sz="4" w:space="0" w:color="006666"/>
            </w:tcBorders>
          </w:tcPr>
          <w:p w14:paraId="3A435A06" w14:textId="5CE53ACE"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1262" w:type="pct"/>
            <w:tcBorders>
              <w:top w:val="single" w:sz="4" w:space="0" w:color="006666"/>
              <w:left w:val="single" w:sz="4" w:space="0" w:color="006666"/>
              <w:bottom w:val="single" w:sz="4" w:space="0" w:color="006666"/>
              <w:right w:val="single" w:sz="4" w:space="0" w:color="006666"/>
            </w:tcBorders>
          </w:tcPr>
          <w:p w14:paraId="44E16F79" w14:textId="610DD47D"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563" w:type="pct"/>
            <w:tcBorders>
              <w:top w:val="single" w:sz="4" w:space="0" w:color="006666"/>
              <w:left w:val="single" w:sz="4" w:space="0" w:color="006666"/>
              <w:bottom w:val="single" w:sz="4" w:space="0" w:color="006666"/>
              <w:right w:val="single" w:sz="4" w:space="0" w:color="006666"/>
            </w:tcBorders>
          </w:tcPr>
          <w:p w14:paraId="177E3FE3" w14:textId="6A9DAF93"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r>
      <w:tr w:rsidR="00C1043F" w:rsidRPr="003E6544" w14:paraId="1AD1064E" w14:textId="77777777" w:rsidTr="0025040A">
        <w:tc>
          <w:tcPr>
            <w:tcW w:w="1393" w:type="pct"/>
            <w:tcBorders>
              <w:top w:val="single" w:sz="4" w:space="0" w:color="006666"/>
              <w:left w:val="single" w:sz="4" w:space="0" w:color="006666"/>
              <w:bottom w:val="single" w:sz="4" w:space="0" w:color="006666"/>
              <w:right w:val="single" w:sz="4" w:space="0" w:color="006666"/>
            </w:tcBorders>
          </w:tcPr>
          <w:p w14:paraId="51000755" w14:textId="4537C615" w:rsidR="00C1043F" w:rsidRPr="003E6544" w:rsidRDefault="00C1043F" w:rsidP="003E6544">
            <w:pPr>
              <w:spacing w:before="0" w:after="0"/>
              <w:jc w:val="left"/>
              <w:rPr>
                <w:rFonts w:cs="Calibri"/>
                <w:color w:val="000000"/>
                <w:sz w:val="22"/>
                <w:szCs w:val="22"/>
                <w:lang w:eastAsia="en-GB"/>
              </w:rPr>
            </w:pPr>
            <w:r w:rsidRPr="003E6544">
              <w:rPr>
                <w:rFonts w:cs="Calibri"/>
                <w:color w:val="000000"/>
                <w:sz w:val="22"/>
                <w:szCs w:val="22"/>
                <w:lang w:eastAsia="en-GB"/>
              </w:rPr>
              <w:t>2018</w:t>
            </w:r>
          </w:p>
        </w:tc>
        <w:tc>
          <w:tcPr>
            <w:tcW w:w="966" w:type="pct"/>
            <w:tcBorders>
              <w:top w:val="single" w:sz="4" w:space="0" w:color="006666"/>
              <w:left w:val="single" w:sz="4" w:space="0" w:color="006666"/>
              <w:bottom w:val="single" w:sz="4" w:space="0" w:color="006666"/>
              <w:right w:val="single" w:sz="4" w:space="0" w:color="006666"/>
            </w:tcBorders>
          </w:tcPr>
          <w:p w14:paraId="09261CED" w14:textId="3E659762"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816" w:type="pct"/>
            <w:tcBorders>
              <w:top w:val="single" w:sz="4" w:space="0" w:color="006666"/>
              <w:left w:val="single" w:sz="4" w:space="0" w:color="006666"/>
              <w:bottom w:val="single" w:sz="4" w:space="0" w:color="006666"/>
              <w:right w:val="single" w:sz="4" w:space="0" w:color="006666"/>
            </w:tcBorders>
          </w:tcPr>
          <w:p w14:paraId="163069CC" w14:textId="5A6D638A"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1262" w:type="pct"/>
            <w:tcBorders>
              <w:top w:val="single" w:sz="4" w:space="0" w:color="006666"/>
              <w:left w:val="single" w:sz="4" w:space="0" w:color="006666"/>
              <w:bottom w:val="single" w:sz="4" w:space="0" w:color="006666"/>
              <w:right w:val="single" w:sz="4" w:space="0" w:color="006666"/>
            </w:tcBorders>
          </w:tcPr>
          <w:p w14:paraId="5A576557" w14:textId="31909647"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c>
          <w:tcPr>
            <w:tcW w:w="563" w:type="pct"/>
            <w:tcBorders>
              <w:top w:val="single" w:sz="4" w:space="0" w:color="006666"/>
              <w:left w:val="single" w:sz="4" w:space="0" w:color="006666"/>
              <w:bottom w:val="single" w:sz="4" w:space="0" w:color="006666"/>
              <w:right w:val="single" w:sz="4" w:space="0" w:color="006666"/>
            </w:tcBorders>
          </w:tcPr>
          <w:p w14:paraId="65D79737" w14:textId="12E1DFE9" w:rsidR="00C1043F" w:rsidRPr="003E6544" w:rsidRDefault="00EC1387" w:rsidP="003E6544">
            <w:pPr>
              <w:spacing w:before="0" w:after="0"/>
              <w:jc w:val="center"/>
              <w:rPr>
                <w:rFonts w:cs="Calibri"/>
                <w:color w:val="000000"/>
                <w:sz w:val="22"/>
                <w:szCs w:val="22"/>
                <w:lang w:eastAsia="en-GB"/>
              </w:rPr>
            </w:pPr>
            <w:r w:rsidRPr="003E6544">
              <w:rPr>
                <w:rFonts w:cs="Calibri"/>
                <w:color w:val="000000"/>
                <w:sz w:val="22"/>
                <w:szCs w:val="22"/>
                <w:lang w:eastAsia="en-GB"/>
              </w:rPr>
              <w:t>0</w:t>
            </w:r>
          </w:p>
        </w:tc>
      </w:tr>
      <w:tr w:rsidR="00B96083" w:rsidRPr="003E6544" w14:paraId="7A6E2C97" w14:textId="77777777" w:rsidTr="0025040A">
        <w:tc>
          <w:tcPr>
            <w:tcW w:w="1393" w:type="pct"/>
            <w:tcBorders>
              <w:top w:val="single" w:sz="4" w:space="0" w:color="006666"/>
              <w:left w:val="single" w:sz="4" w:space="0" w:color="006666"/>
              <w:bottom w:val="single" w:sz="4" w:space="0" w:color="006666"/>
              <w:right w:val="single" w:sz="4" w:space="0" w:color="006666"/>
            </w:tcBorders>
            <w:hideMark/>
          </w:tcPr>
          <w:p w14:paraId="15A4B6CF" w14:textId="3A332D86" w:rsidR="00B96083" w:rsidRPr="003E6544" w:rsidRDefault="003A478C" w:rsidP="003E6544">
            <w:pPr>
              <w:spacing w:before="0" w:after="0"/>
              <w:jc w:val="left"/>
              <w:rPr>
                <w:rFonts w:cs="Calibri"/>
                <w:color w:val="000000"/>
                <w:sz w:val="22"/>
                <w:szCs w:val="22"/>
                <w:lang w:eastAsia="en-GB"/>
              </w:rPr>
            </w:pPr>
            <w:r w:rsidRPr="003E6544">
              <w:rPr>
                <w:rFonts w:cs="Calibri"/>
                <w:b/>
                <w:color w:val="000000"/>
                <w:sz w:val="22"/>
                <w:szCs w:val="22"/>
                <w:lang w:eastAsia="en-GB"/>
              </w:rPr>
              <w:t>Five</w:t>
            </w:r>
            <w:r w:rsidR="00B96083" w:rsidRPr="003E6544">
              <w:rPr>
                <w:rFonts w:cs="Calibri"/>
                <w:b/>
                <w:color w:val="000000"/>
                <w:sz w:val="22"/>
                <w:szCs w:val="22"/>
                <w:lang w:eastAsia="en-GB"/>
              </w:rPr>
              <w:t>-Count Average</w:t>
            </w:r>
          </w:p>
        </w:tc>
        <w:tc>
          <w:tcPr>
            <w:tcW w:w="966" w:type="pct"/>
            <w:tcBorders>
              <w:top w:val="single" w:sz="4" w:space="0" w:color="006666"/>
              <w:left w:val="single" w:sz="4" w:space="0" w:color="006666"/>
              <w:bottom w:val="single" w:sz="4" w:space="0" w:color="006666"/>
              <w:right w:val="single" w:sz="4" w:space="0" w:color="006666"/>
            </w:tcBorders>
            <w:vAlign w:val="center"/>
          </w:tcPr>
          <w:p w14:paraId="6B05CD3B" w14:textId="7E57B75F" w:rsidR="00B9608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0</w:t>
            </w:r>
          </w:p>
        </w:tc>
        <w:tc>
          <w:tcPr>
            <w:tcW w:w="816" w:type="pct"/>
            <w:tcBorders>
              <w:top w:val="single" w:sz="4" w:space="0" w:color="006666"/>
              <w:left w:val="single" w:sz="4" w:space="0" w:color="006666"/>
              <w:bottom w:val="single" w:sz="4" w:space="0" w:color="006666"/>
              <w:right w:val="single" w:sz="4" w:space="0" w:color="006666"/>
            </w:tcBorders>
            <w:vAlign w:val="center"/>
          </w:tcPr>
          <w:p w14:paraId="589F4CD0" w14:textId="0622AD87" w:rsidR="00B9608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0</w:t>
            </w:r>
          </w:p>
        </w:tc>
        <w:tc>
          <w:tcPr>
            <w:tcW w:w="1262" w:type="pct"/>
            <w:tcBorders>
              <w:top w:val="single" w:sz="4" w:space="0" w:color="006666"/>
              <w:left w:val="single" w:sz="4" w:space="0" w:color="006666"/>
              <w:bottom w:val="single" w:sz="4" w:space="0" w:color="006666"/>
              <w:right w:val="single" w:sz="4" w:space="0" w:color="006666"/>
            </w:tcBorders>
            <w:vAlign w:val="center"/>
          </w:tcPr>
          <w:p w14:paraId="7252B57B" w14:textId="7B67CAD0" w:rsidR="00B9608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0</w:t>
            </w:r>
          </w:p>
        </w:tc>
        <w:tc>
          <w:tcPr>
            <w:tcW w:w="563" w:type="pct"/>
            <w:tcBorders>
              <w:top w:val="single" w:sz="4" w:space="0" w:color="006666"/>
              <w:left w:val="single" w:sz="4" w:space="0" w:color="006666"/>
              <w:bottom w:val="single" w:sz="4" w:space="0" w:color="006666"/>
              <w:right w:val="single" w:sz="4" w:space="0" w:color="006666"/>
            </w:tcBorders>
            <w:vAlign w:val="center"/>
          </w:tcPr>
          <w:p w14:paraId="6A091B6E" w14:textId="57DC854C" w:rsidR="00B9608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0</w:t>
            </w:r>
          </w:p>
        </w:tc>
      </w:tr>
      <w:tr w:rsidR="00B96083" w:rsidRPr="003E6544" w14:paraId="29F83F45" w14:textId="77777777" w:rsidTr="0025040A">
        <w:tc>
          <w:tcPr>
            <w:tcW w:w="1393" w:type="pct"/>
            <w:tcBorders>
              <w:top w:val="single" w:sz="4" w:space="0" w:color="006666"/>
              <w:left w:val="single" w:sz="4" w:space="0" w:color="006666"/>
              <w:bottom w:val="single" w:sz="4" w:space="0" w:color="006666"/>
              <w:right w:val="single" w:sz="4" w:space="0" w:color="006666"/>
            </w:tcBorders>
            <w:hideMark/>
          </w:tcPr>
          <w:p w14:paraId="6FB190B1" w14:textId="476B7FC7" w:rsidR="00B96083" w:rsidRPr="003E6544" w:rsidRDefault="003A478C" w:rsidP="003E6544">
            <w:pPr>
              <w:spacing w:before="0" w:after="0"/>
              <w:jc w:val="left"/>
              <w:rPr>
                <w:rFonts w:cs="Calibri"/>
                <w:b/>
                <w:color w:val="000000"/>
                <w:sz w:val="22"/>
                <w:szCs w:val="22"/>
                <w:lang w:eastAsia="en-GB"/>
              </w:rPr>
            </w:pPr>
            <w:r w:rsidRPr="003E6544">
              <w:rPr>
                <w:rFonts w:cs="Calibri"/>
                <w:b/>
                <w:color w:val="000000"/>
                <w:sz w:val="22"/>
                <w:szCs w:val="22"/>
                <w:lang w:eastAsia="en-GB"/>
              </w:rPr>
              <w:t>Five</w:t>
            </w:r>
            <w:r w:rsidR="00B96083" w:rsidRPr="003E6544">
              <w:rPr>
                <w:rFonts w:cs="Calibri"/>
                <w:b/>
                <w:color w:val="000000"/>
                <w:sz w:val="22"/>
                <w:szCs w:val="22"/>
                <w:lang w:eastAsia="en-GB"/>
              </w:rPr>
              <w:t>-Count % Average</w:t>
            </w:r>
          </w:p>
        </w:tc>
        <w:tc>
          <w:tcPr>
            <w:tcW w:w="966" w:type="pct"/>
            <w:tcBorders>
              <w:top w:val="single" w:sz="4" w:space="0" w:color="006666"/>
              <w:left w:val="single" w:sz="4" w:space="0" w:color="006666"/>
              <w:bottom w:val="single" w:sz="4" w:space="0" w:color="006666"/>
              <w:right w:val="single" w:sz="4" w:space="0" w:color="006666"/>
            </w:tcBorders>
            <w:vAlign w:val="bottom"/>
          </w:tcPr>
          <w:p w14:paraId="0A08CF9D" w14:textId="41F298A4" w:rsidR="00B9608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w:t>
            </w:r>
          </w:p>
        </w:tc>
        <w:tc>
          <w:tcPr>
            <w:tcW w:w="816" w:type="pct"/>
            <w:tcBorders>
              <w:top w:val="single" w:sz="4" w:space="0" w:color="006666"/>
              <w:left w:val="single" w:sz="4" w:space="0" w:color="006666"/>
              <w:bottom w:val="single" w:sz="4" w:space="0" w:color="006666"/>
              <w:right w:val="single" w:sz="4" w:space="0" w:color="006666"/>
            </w:tcBorders>
            <w:vAlign w:val="bottom"/>
          </w:tcPr>
          <w:p w14:paraId="0F117083" w14:textId="12D691DD" w:rsidR="00B9608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w:t>
            </w:r>
          </w:p>
        </w:tc>
        <w:tc>
          <w:tcPr>
            <w:tcW w:w="1262" w:type="pct"/>
            <w:tcBorders>
              <w:top w:val="single" w:sz="4" w:space="0" w:color="006666"/>
              <w:left w:val="single" w:sz="4" w:space="0" w:color="006666"/>
              <w:bottom w:val="single" w:sz="4" w:space="0" w:color="006666"/>
              <w:right w:val="single" w:sz="4" w:space="0" w:color="006666"/>
            </w:tcBorders>
            <w:vAlign w:val="bottom"/>
          </w:tcPr>
          <w:p w14:paraId="2B160717" w14:textId="4CA68D4C" w:rsidR="00B9608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w:t>
            </w:r>
          </w:p>
        </w:tc>
        <w:tc>
          <w:tcPr>
            <w:tcW w:w="563" w:type="pct"/>
            <w:tcBorders>
              <w:top w:val="single" w:sz="4" w:space="0" w:color="006666"/>
              <w:left w:val="single" w:sz="4" w:space="0" w:color="006666"/>
              <w:bottom w:val="single" w:sz="4" w:space="0" w:color="006666"/>
              <w:right w:val="single" w:sz="4" w:space="0" w:color="006666"/>
            </w:tcBorders>
            <w:vAlign w:val="bottom"/>
          </w:tcPr>
          <w:p w14:paraId="071ACB5C" w14:textId="2C87776D" w:rsidR="00B96083" w:rsidRPr="003E6544" w:rsidRDefault="00EC1387" w:rsidP="003E6544">
            <w:pPr>
              <w:spacing w:before="0" w:after="0"/>
              <w:jc w:val="center"/>
              <w:rPr>
                <w:rFonts w:cs="Calibri"/>
                <w:b/>
                <w:color w:val="000000"/>
                <w:sz w:val="22"/>
                <w:szCs w:val="22"/>
                <w:lang w:eastAsia="en-GB"/>
              </w:rPr>
            </w:pPr>
            <w:r w:rsidRPr="003E6544">
              <w:rPr>
                <w:rFonts w:cs="Calibri"/>
                <w:b/>
                <w:color w:val="000000"/>
                <w:sz w:val="22"/>
                <w:szCs w:val="22"/>
                <w:lang w:eastAsia="en-GB"/>
              </w:rPr>
              <w:t>-</w:t>
            </w:r>
          </w:p>
        </w:tc>
      </w:tr>
    </w:tbl>
    <w:p w14:paraId="33A01268" w14:textId="79AFBC7A" w:rsidR="00B96083" w:rsidRPr="00772BDA" w:rsidRDefault="003A478C" w:rsidP="00B96083">
      <w:pPr>
        <w:spacing w:before="0" w:after="0"/>
        <w:jc w:val="left"/>
        <w:rPr>
          <w:sz w:val="20"/>
          <w:lang w:eastAsia="en-GB"/>
        </w:rPr>
      </w:pPr>
      <w:r w:rsidRPr="003A478C">
        <w:rPr>
          <w:sz w:val="20"/>
          <w:lang w:eastAsia="en-GB"/>
        </w:rPr>
        <w:t>Source: MH</w:t>
      </w:r>
      <w:r w:rsidR="00B96083" w:rsidRPr="003A478C">
        <w:rPr>
          <w:sz w:val="20"/>
          <w:lang w:eastAsia="en-GB"/>
        </w:rPr>
        <w:t>CLG Travelling Showpeople Caravan Count, Live Table 3 (</w:t>
      </w:r>
      <w:r w:rsidR="00557058" w:rsidRPr="003A478C">
        <w:rPr>
          <w:sz w:val="20"/>
          <w:lang w:eastAsia="en-GB"/>
        </w:rPr>
        <w:t>January 2018</w:t>
      </w:r>
      <w:r w:rsidR="00B96083" w:rsidRPr="003A478C">
        <w:rPr>
          <w:sz w:val="20"/>
          <w:lang w:eastAsia="en-GB"/>
        </w:rPr>
        <w:t>)</w:t>
      </w:r>
    </w:p>
    <w:p w14:paraId="1EEEFF8B" w14:textId="77777777" w:rsidR="00B96083" w:rsidRPr="00772BDA" w:rsidRDefault="00B96083" w:rsidP="003E6544">
      <w:pPr>
        <w:pStyle w:val="Reporttext"/>
        <w:numPr>
          <w:ilvl w:val="0"/>
          <w:numId w:val="0"/>
        </w:numPr>
        <w:ind w:left="709"/>
      </w:pPr>
    </w:p>
    <w:p w14:paraId="51CE3037" w14:textId="32B05B9F" w:rsidR="00B96083" w:rsidRPr="00772BDA" w:rsidRDefault="00F904C6" w:rsidP="0014458C">
      <w:pPr>
        <w:pStyle w:val="Reporttext"/>
      </w:pPr>
      <w:r>
        <w:t xml:space="preserve">The </w:t>
      </w:r>
      <w:r w:rsidR="00557058">
        <w:t>MH</w:t>
      </w:r>
      <w:r>
        <w:t xml:space="preserve">CLG Caravan </w:t>
      </w:r>
      <w:r w:rsidRPr="003A478C">
        <w:t>C</w:t>
      </w:r>
      <w:r w:rsidR="00B96083" w:rsidRPr="003A478C">
        <w:t>ount data also records Traveller and Travelling Showpeople caravan sites provided by local authorities and private registered providers in England</w:t>
      </w:r>
      <w:r w:rsidR="00B96083" w:rsidRPr="003A478C">
        <w:rPr>
          <w:vertAlign w:val="superscript"/>
        </w:rPr>
        <w:footnoteReference w:id="21"/>
      </w:r>
      <w:r w:rsidR="00B96083" w:rsidRPr="003A478C">
        <w:t xml:space="preserve">. The data from </w:t>
      </w:r>
      <w:r w:rsidR="00406C7C" w:rsidRPr="003A478C">
        <w:t>J</w:t>
      </w:r>
      <w:r w:rsidR="00747925">
        <w:t>uly</w:t>
      </w:r>
      <w:r w:rsidR="00392853" w:rsidRPr="003A478C">
        <w:t xml:space="preserve"> 2018</w:t>
      </w:r>
      <w:r w:rsidR="00406C7C" w:rsidRPr="003A478C">
        <w:t xml:space="preserve"> </w:t>
      </w:r>
      <w:r w:rsidR="00747925">
        <w:t>identifies a capacity of 7 pitches at the Four Corners site which was opened in 1965.</w:t>
      </w:r>
    </w:p>
    <w:p w14:paraId="3F83A9B8" w14:textId="77777777" w:rsidR="007525B2" w:rsidRPr="00975B9E" w:rsidRDefault="007525B2" w:rsidP="003E6544">
      <w:pPr>
        <w:pStyle w:val="Reporttext"/>
        <w:numPr>
          <w:ilvl w:val="0"/>
          <w:numId w:val="0"/>
        </w:numPr>
        <w:ind w:left="709"/>
      </w:pPr>
    </w:p>
    <w:p w14:paraId="3912E025" w14:textId="77777777" w:rsidR="007525B2" w:rsidRDefault="007525B2" w:rsidP="007525B2">
      <w:pPr>
        <w:pStyle w:val="Heading2"/>
      </w:pPr>
      <w:bookmarkStart w:id="165" w:name="_Toc459646236"/>
      <w:bookmarkStart w:id="166" w:name="_Toc485383237"/>
      <w:bookmarkStart w:id="167" w:name="_Toc510091964"/>
      <w:bookmarkStart w:id="168" w:name="_Toc13845476"/>
      <w:r>
        <w:t>Local information</w:t>
      </w:r>
      <w:bookmarkEnd w:id="165"/>
      <w:bookmarkEnd w:id="166"/>
      <w:bookmarkEnd w:id="167"/>
      <w:bookmarkEnd w:id="168"/>
    </w:p>
    <w:p w14:paraId="242DBF4A" w14:textId="41A5826A" w:rsidR="007525B2" w:rsidRDefault="007525B2" w:rsidP="0014458C">
      <w:pPr>
        <w:pStyle w:val="Reporttext"/>
      </w:pPr>
      <w:r>
        <w:t xml:space="preserve">Data on the provision of sites considers both authorised and unauthorised sites across </w:t>
      </w:r>
      <w:r w:rsidR="00EE6DA0">
        <w:t>West Berkshire</w:t>
      </w:r>
      <w:r w:rsidR="00B417A5">
        <w:t xml:space="preserve"> </w:t>
      </w:r>
      <w:r w:rsidR="00473EAA">
        <w:t>District</w:t>
      </w:r>
      <w:r>
        <w:t xml:space="preserve">. </w:t>
      </w:r>
    </w:p>
    <w:p w14:paraId="4D071B92" w14:textId="77777777" w:rsidR="00CA0946" w:rsidRPr="00BD36E4" w:rsidRDefault="007525B2" w:rsidP="0014458C">
      <w:pPr>
        <w:pStyle w:val="Reporttext"/>
      </w:pPr>
      <w:r>
        <w:t>Broadly speaking, authorised sites are those with planning permission and can b</w:t>
      </w:r>
      <w:r w:rsidR="00A91655">
        <w:t>e on either public or privately-</w:t>
      </w:r>
      <w:r>
        <w:t>owned land. Unauthorised sites are made up of either longer term</w:t>
      </w:r>
      <w:r>
        <w:rPr>
          <w:rStyle w:val="FootnoteReference"/>
        </w:rPr>
        <w:footnoteReference w:id="22"/>
      </w:r>
      <w:r>
        <w:t xml:space="preserve"> unauthorised encampments</w:t>
      </w:r>
      <w:r>
        <w:rPr>
          <w:rStyle w:val="FootnoteReference"/>
        </w:rPr>
        <w:footnoteReference w:id="23"/>
      </w:r>
      <w:r>
        <w:t xml:space="preserve">, that have been in existence for some considerable </w:t>
      </w:r>
      <w:r w:rsidRPr="00343344">
        <w:t xml:space="preserve">time and so can be considered to be indicative of a permanent need for accommodation (in </w:t>
      </w:r>
      <w:r w:rsidRPr="00503FAC">
        <w:t>some instances local authorities class these as tolerated sites and do not take enforcement action to remove them); and unauthorised developments, where Travellers are residing upon land that they own and that does not have pla</w:t>
      </w:r>
      <w:r w:rsidR="00CE0854" w:rsidRPr="00503FAC">
        <w:t>nning permission (see Appendix D</w:t>
      </w:r>
      <w:r w:rsidRPr="00503FAC">
        <w:t xml:space="preserve"> </w:t>
      </w:r>
      <w:r w:rsidRPr="00BD36E4">
        <w:t xml:space="preserve">for more detailed definitions). </w:t>
      </w:r>
    </w:p>
    <w:p w14:paraId="4B93367F" w14:textId="641FE398" w:rsidR="00A97563" w:rsidRPr="00BD36E4" w:rsidRDefault="00EC1387" w:rsidP="0014458C">
      <w:pPr>
        <w:pStyle w:val="Reporttext"/>
      </w:pPr>
      <w:r w:rsidRPr="00BD36E4">
        <w:t>Table 4.4</w:t>
      </w:r>
      <w:r w:rsidR="007525B2" w:rsidRPr="00BD36E4">
        <w:t xml:space="preserve"> sets out information relating to the Gypsy and Traveller sites located within </w:t>
      </w:r>
      <w:r w:rsidR="00EE6DA0" w:rsidRPr="00BD36E4">
        <w:t>West Berkshire</w:t>
      </w:r>
      <w:r w:rsidR="00B417A5" w:rsidRPr="00BD36E4">
        <w:t xml:space="preserve"> </w:t>
      </w:r>
      <w:r w:rsidR="00473EAA" w:rsidRPr="00BD36E4">
        <w:t>District</w:t>
      </w:r>
      <w:r w:rsidR="007525B2" w:rsidRPr="00BD36E4">
        <w:t xml:space="preserve">, and the locations of these sites are shown on Map 4.1. These sites include </w:t>
      </w:r>
      <w:r w:rsidR="00BD36E4" w:rsidRPr="00BD36E4">
        <w:t>one</w:t>
      </w:r>
      <w:r w:rsidR="007525B2" w:rsidRPr="00BD36E4">
        <w:t xml:space="preserve"> au</w:t>
      </w:r>
      <w:r w:rsidR="00A97563" w:rsidRPr="00BD36E4">
        <w:t>thorised permanent Council site</w:t>
      </w:r>
      <w:r w:rsidR="00747925">
        <w:t xml:space="preserve"> (currently with 7 occupied pitches but the site originally had 16 pitches), </w:t>
      </w:r>
      <w:r w:rsidR="00BD36E4" w:rsidRPr="00BD36E4">
        <w:t>two</w:t>
      </w:r>
      <w:r w:rsidR="00C75DFB" w:rsidRPr="00BD36E4">
        <w:t xml:space="preserve"> authorised permanent private sites</w:t>
      </w:r>
      <w:r w:rsidR="00BD36E4" w:rsidRPr="00BD36E4">
        <w:t xml:space="preserve"> </w:t>
      </w:r>
      <w:r w:rsidR="00747925">
        <w:t xml:space="preserve">(25 pitches) </w:t>
      </w:r>
      <w:r w:rsidR="00BD36E4" w:rsidRPr="00BD36E4">
        <w:t xml:space="preserve">and </w:t>
      </w:r>
      <w:r w:rsidR="00747925">
        <w:t>three</w:t>
      </w:r>
      <w:r w:rsidR="00BD36E4" w:rsidRPr="00BD36E4">
        <w:t xml:space="preserve"> unauthorised site</w:t>
      </w:r>
      <w:r w:rsidR="00747925">
        <w:t>s (4 pitches)</w:t>
      </w:r>
      <w:r w:rsidR="00BD36E4" w:rsidRPr="00BD36E4">
        <w:t>. In addition, there is one authorised Travelling Showperson yard</w:t>
      </w:r>
      <w:r w:rsidR="00747925">
        <w:t xml:space="preserve"> with planning permission. </w:t>
      </w:r>
    </w:p>
    <w:p w14:paraId="3930A648" w14:textId="77777777" w:rsidR="00C73BC5" w:rsidRPr="00CA0946" w:rsidRDefault="00C73BC5" w:rsidP="003E6544">
      <w:pPr>
        <w:pStyle w:val="Reporttext"/>
        <w:numPr>
          <w:ilvl w:val="0"/>
          <w:numId w:val="0"/>
        </w:numPr>
        <w:ind w:left="709"/>
      </w:pPr>
    </w:p>
    <w:p w14:paraId="3FB145C9" w14:textId="77777777" w:rsidR="007525B2" w:rsidRDefault="007525B2" w:rsidP="007525B2">
      <w:pPr>
        <w:spacing w:before="0" w:after="0"/>
        <w:jc w:val="left"/>
      </w:pPr>
    </w:p>
    <w:p w14:paraId="7EC59911" w14:textId="77777777" w:rsidR="00CA0946" w:rsidRDefault="00CA0946" w:rsidP="007525B2">
      <w:pPr>
        <w:spacing w:before="0" w:after="0"/>
        <w:jc w:val="left"/>
        <w:sectPr w:rsidR="00CA0946" w:rsidSect="00787125">
          <w:headerReference w:type="default" r:id="rId18"/>
          <w:footerReference w:type="default" r:id="rId19"/>
          <w:footerReference w:type="first" r:id="rId20"/>
          <w:pgSz w:w="11906" w:h="16838"/>
          <w:pgMar w:top="1440" w:right="1276" w:bottom="1440" w:left="1440" w:header="709" w:footer="709" w:gutter="0"/>
          <w:pgBorders w:offsetFrom="page">
            <w:top w:val="none" w:sz="0" w:space="0" w:color="000000"/>
            <w:left w:val="none" w:sz="0" w:space="0" w:color="000000"/>
            <w:bottom w:val="none" w:sz="0" w:space="0" w:color="000000"/>
            <w:right w:val="none" w:sz="0" w:space="0" w:color="000000"/>
          </w:pgBorders>
          <w:cols w:space="720"/>
          <w:docGrid w:linePitch="326"/>
        </w:sectPr>
      </w:pP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A0" w:firstRow="1" w:lastRow="0" w:firstColumn="1" w:lastColumn="0" w:noHBand="0" w:noVBand="0"/>
      </w:tblPr>
      <w:tblGrid>
        <w:gridCol w:w="1167"/>
        <w:gridCol w:w="3822"/>
        <w:gridCol w:w="1118"/>
        <w:gridCol w:w="2512"/>
        <w:gridCol w:w="1671"/>
        <w:gridCol w:w="1118"/>
        <w:gridCol w:w="1394"/>
        <w:gridCol w:w="1310"/>
      </w:tblGrid>
      <w:tr w:rsidR="007525B2" w:rsidRPr="0064690C" w14:paraId="37979025" w14:textId="77777777" w:rsidTr="003E6544">
        <w:trPr>
          <w:tblHeader/>
        </w:trPr>
        <w:tc>
          <w:tcPr>
            <w:tcW w:w="5000" w:type="pct"/>
            <w:gridSpan w:val="8"/>
            <w:shd w:val="clear" w:color="auto" w:fill="009999"/>
            <w:tcMar>
              <w:left w:w="108" w:type="dxa"/>
              <w:right w:w="108" w:type="dxa"/>
            </w:tcMar>
          </w:tcPr>
          <w:p w14:paraId="0ECF08F6" w14:textId="35F662DA" w:rsidR="007525B2" w:rsidRPr="004A56BB" w:rsidRDefault="00EC1387" w:rsidP="004A56BB">
            <w:pPr>
              <w:pStyle w:val="tableheading"/>
            </w:pPr>
            <w:bookmarkStart w:id="169" w:name="_Toc397098749"/>
            <w:bookmarkStart w:id="170" w:name="_Toc420657977"/>
            <w:bookmarkStart w:id="171" w:name="_Toc456259325"/>
            <w:bookmarkStart w:id="172" w:name="_Toc459646270"/>
            <w:bookmarkStart w:id="173" w:name="_Toc485383282"/>
            <w:bookmarkStart w:id="174" w:name="_Toc510092016"/>
            <w:bookmarkStart w:id="175" w:name="_Toc13845513"/>
            <w:r>
              <w:t>Table 4.4</w:t>
            </w:r>
            <w:r w:rsidR="007525B2" w:rsidRPr="004A56BB">
              <w:tab/>
            </w:r>
            <w:r w:rsidR="007525B2" w:rsidRPr="0051006C">
              <w:t xml:space="preserve">List of Gypsy &amp; Traveller sites (as at </w:t>
            </w:r>
            <w:r w:rsidR="00747925">
              <w:t>February 2019</w:t>
            </w:r>
            <w:r w:rsidR="007525B2" w:rsidRPr="0051006C">
              <w:t>)</w:t>
            </w:r>
            <w:bookmarkEnd w:id="169"/>
            <w:bookmarkEnd w:id="170"/>
            <w:bookmarkEnd w:id="171"/>
            <w:bookmarkEnd w:id="172"/>
            <w:bookmarkEnd w:id="173"/>
            <w:bookmarkEnd w:id="174"/>
            <w:bookmarkEnd w:id="175"/>
          </w:p>
        </w:tc>
      </w:tr>
      <w:tr w:rsidR="001A4A56" w:rsidRPr="003E6544" w14:paraId="204989E7" w14:textId="77777777" w:rsidTr="003E6544">
        <w:trPr>
          <w:tblHeader/>
        </w:trPr>
        <w:tc>
          <w:tcPr>
            <w:tcW w:w="414" w:type="pct"/>
            <w:shd w:val="clear" w:color="auto" w:fill="009999"/>
            <w:tcMar>
              <w:top w:w="0" w:type="dxa"/>
              <w:left w:w="108" w:type="dxa"/>
              <w:bottom w:w="0" w:type="dxa"/>
              <w:right w:w="108" w:type="dxa"/>
            </w:tcMar>
            <w:vAlign w:val="bottom"/>
            <w:hideMark/>
          </w:tcPr>
          <w:p w14:paraId="4C81BFEB" w14:textId="0575C842" w:rsidR="007525B2" w:rsidRPr="003E6544" w:rsidRDefault="007525B2" w:rsidP="003E6544">
            <w:pPr>
              <w:spacing w:beforeLines="20" w:before="48" w:afterLines="20" w:after="48"/>
              <w:jc w:val="left"/>
              <w:rPr>
                <w:b/>
                <w:color w:val="FFFFFF" w:themeColor="background1"/>
                <w:sz w:val="22"/>
                <w:szCs w:val="22"/>
              </w:rPr>
            </w:pPr>
            <w:r w:rsidRPr="003E6544">
              <w:rPr>
                <w:b/>
                <w:color w:val="FFFFFF" w:themeColor="background1"/>
                <w:sz w:val="22"/>
                <w:szCs w:val="22"/>
              </w:rPr>
              <w:t>Site</w:t>
            </w:r>
            <w:r w:rsidR="001402E2" w:rsidRPr="003E6544">
              <w:rPr>
                <w:b/>
                <w:color w:val="FFFFFF" w:themeColor="background1"/>
                <w:sz w:val="22"/>
                <w:szCs w:val="22"/>
              </w:rPr>
              <w:t xml:space="preserve"> Code</w:t>
            </w:r>
          </w:p>
        </w:tc>
        <w:tc>
          <w:tcPr>
            <w:tcW w:w="1354" w:type="pct"/>
            <w:shd w:val="clear" w:color="auto" w:fill="009999"/>
            <w:tcMar>
              <w:top w:w="0" w:type="dxa"/>
              <w:left w:w="108" w:type="dxa"/>
              <w:bottom w:w="0" w:type="dxa"/>
              <w:right w:w="108" w:type="dxa"/>
            </w:tcMar>
            <w:vAlign w:val="bottom"/>
            <w:hideMark/>
          </w:tcPr>
          <w:p w14:paraId="28AC8A77" w14:textId="6D8A1238" w:rsidR="007525B2" w:rsidRPr="003E6544" w:rsidRDefault="007525B2" w:rsidP="003E6544">
            <w:pPr>
              <w:spacing w:beforeLines="20" w:before="48" w:afterLines="20" w:after="48"/>
              <w:jc w:val="center"/>
              <w:rPr>
                <w:b/>
                <w:color w:val="FFFFFF" w:themeColor="background1"/>
                <w:sz w:val="22"/>
                <w:szCs w:val="22"/>
              </w:rPr>
            </w:pPr>
            <w:r w:rsidRPr="003E6544">
              <w:rPr>
                <w:b/>
                <w:color w:val="FFFFFF" w:themeColor="background1"/>
                <w:sz w:val="22"/>
                <w:szCs w:val="22"/>
              </w:rPr>
              <w:t xml:space="preserve">Site/Yard </w:t>
            </w:r>
            <w:r w:rsidR="000811FD" w:rsidRPr="003E6544">
              <w:rPr>
                <w:b/>
                <w:color w:val="FFFFFF" w:themeColor="background1"/>
                <w:sz w:val="22"/>
                <w:szCs w:val="22"/>
              </w:rPr>
              <w:t>Name</w:t>
            </w:r>
            <w:r w:rsidRPr="003E6544">
              <w:rPr>
                <w:b/>
                <w:color w:val="FFFFFF" w:themeColor="background1"/>
                <w:sz w:val="22"/>
                <w:szCs w:val="22"/>
              </w:rPr>
              <w:t xml:space="preserve"> and Address</w:t>
            </w:r>
          </w:p>
        </w:tc>
        <w:tc>
          <w:tcPr>
            <w:tcW w:w="396" w:type="pct"/>
            <w:shd w:val="clear" w:color="auto" w:fill="009999"/>
            <w:tcMar>
              <w:top w:w="0" w:type="dxa"/>
              <w:left w:w="108" w:type="dxa"/>
              <w:bottom w:w="0" w:type="dxa"/>
              <w:right w:w="108" w:type="dxa"/>
            </w:tcMar>
            <w:vAlign w:val="bottom"/>
          </w:tcPr>
          <w:p w14:paraId="7E48C6E0" w14:textId="77777777" w:rsidR="007525B2" w:rsidRPr="003E6544" w:rsidRDefault="007525B2" w:rsidP="003E6544">
            <w:pPr>
              <w:spacing w:beforeLines="20" w:before="48" w:afterLines="20" w:after="48"/>
              <w:jc w:val="center"/>
              <w:rPr>
                <w:b/>
                <w:color w:val="FFFFFF" w:themeColor="background1"/>
                <w:sz w:val="22"/>
                <w:szCs w:val="22"/>
              </w:rPr>
            </w:pPr>
            <w:r w:rsidRPr="003E6544">
              <w:rPr>
                <w:b/>
                <w:color w:val="FFFFFF" w:themeColor="background1"/>
                <w:sz w:val="22"/>
                <w:szCs w:val="22"/>
              </w:rPr>
              <w:t>Postcode</w:t>
            </w:r>
          </w:p>
        </w:tc>
        <w:tc>
          <w:tcPr>
            <w:tcW w:w="890" w:type="pct"/>
            <w:shd w:val="clear" w:color="auto" w:fill="009999"/>
            <w:tcMar>
              <w:top w:w="0" w:type="dxa"/>
              <w:left w:w="108" w:type="dxa"/>
              <w:bottom w:w="0" w:type="dxa"/>
              <w:right w:w="108" w:type="dxa"/>
            </w:tcMar>
            <w:vAlign w:val="bottom"/>
          </w:tcPr>
          <w:p w14:paraId="0060BD08" w14:textId="19BE0449" w:rsidR="007525B2" w:rsidRPr="003E6544" w:rsidRDefault="007525B2" w:rsidP="003E6544">
            <w:pPr>
              <w:spacing w:beforeLines="20" w:before="48" w:afterLines="20" w:after="48"/>
              <w:jc w:val="center"/>
              <w:rPr>
                <w:b/>
                <w:color w:val="FFFFFF" w:themeColor="background1"/>
                <w:sz w:val="22"/>
                <w:szCs w:val="22"/>
              </w:rPr>
            </w:pPr>
            <w:r w:rsidRPr="003E6544">
              <w:rPr>
                <w:b/>
                <w:color w:val="FFFFFF" w:themeColor="background1"/>
                <w:sz w:val="22"/>
                <w:szCs w:val="22"/>
              </w:rPr>
              <w:t>Type of Site</w:t>
            </w:r>
          </w:p>
        </w:tc>
        <w:tc>
          <w:tcPr>
            <w:tcW w:w="592" w:type="pct"/>
            <w:shd w:val="clear" w:color="auto" w:fill="009999"/>
            <w:tcMar>
              <w:left w:w="108" w:type="dxa"/>
              <w:right w:w="108" w:type="dxa"/>
            </w:tcMar>
            <w:vAlign w:val="bottom"/>
          </w:tcPr>
          <w:p w14:paraId="1A40851F" w14:textId="77777777" w:rsidR="007525B2" w:rsidRPr="003E6544" w:rsidRDefault="007525B2" w:rsidP="003E6544">
            <w:pPr>
              <w:spacing w:beforeLines="20" w:before="48" w:afterLines="20" w:after="48"/>
              <w:jc w:val="center"/>
              <w:rPr>
                <w:b/>
                <w:color w:val="FFFFFF" w:themeColor="background1"/>
                <w:sz w:val="22"/>
                <w:szCs w:val="22"/>
              </w:rPr>
            </w:pPr>
            <w:r w:rsidRPr="003E6544">
              <w:rPr>
                <w:b/>
                <w:color w:val="FFFFFF" w:themeColor="background1"/>
                <w:sz w:val="22"/>
                <w:szCs w:val="22"/>
              </w:rPr>
              <w:t>Ownership</w:t>
            </w:r>
          </w:p>
        </w:tc>
        <w:tc>
          <w:tcPr>
            <w:tcW w:w="396" w:type="pct"/>
            <w:shd w:val="clear" w:color="auto" w:fill="009999"/>
            <w:tcMar>
              <w:left w:w="108" w:type="dxa"/>
              <w:right w:w="108" w:type="dxa"/>
            </w:tcMar>
            <w:vAlign w:val="bottom"/>
          </w:tcPr>
          <w:p w14:paraId="7CCFDE2A" w14:textId="0DE22A94" w:rsidR="007525B2" w:rsidRPr="003E6544" w:rsidRDefault="007525B2" w:rsidP="003E6544">
            <w:pPr>
              <w:spacing w:beforeLines="20" w:before="48" w:afterLines="20" w:after="48"/>
              <w:jc w:val="center"/>
              <w:rPr>
                <w:b/>
                <w:color w:val="FFFFFF" w:themeColor="background1"/>
                <w:sz w:val="22"/>
                <w:szCs w:val="22"/>
              </w:rPr>
            </w:pPr>
            <w:r w:rsidRPr="003E6544">
              <w:rPr>
                <w:b/>
                <w:color w:val="FFFFFF" w:themeColor="background1"/>
                <w:sz w:val="22"/>
                <w:szCs w:val="22"/>
              </w:rPr>
              <w:t>Total Pitches</w:t>
            </w:r>
          </w:p>
        </w:tc>
        <w:tc>
          <w:tcPr>
            <w:tcW w:w="494" w:type="pct"/>
            <w:shd w:val="clear" w:color="auto" w:fill="009999"/>
            <w:tcMar>
              <w:left w:w="108" w:type="dxa"/>
              <w:right w:w="108" w:type="dxa"/>
            </w:tcMar>
            <w:vAlign w:val="bottom"/>
          </w:tcPr>
          <w:p w14:paraId="4D8ADBF5" w14:textId="77777777" w:rsidR="007525B2" w:rsidRPr="003E6544" w:rsidRDefault="007525B2" w:rsidP="003E6544">
            <w:pPr>
              <w:spacing w:beforeLines="20" w:before="48" w:afterLines="20" w:after="48"/>
              <w:jc w:val="center"/>
              <w:rPr>
                <w:b/>
                <w:color w:val="FFFFFF" w:themeColor="background1"/>
                <w:sz w:val="22"/>
                <w:szCs w:val="22"/>
              </w:rPr>
            </w:pPr>
            <w:r w:rsidRPr="003E6544">
              <w:rPr>
                <w:b/>
                <w:color w:val="FFFFFF" w:themeColor="background1"/>
                <w:sz w:val="22"/>
                <w:szCs w:val="22"/>
              </w:rPr>
              <w:t>Households</w:t>
            </w:r>
          </w:p>
        </w:tc>
        <w:tc>
          <w:tcPr>
            <w:tcW w:w="464" w:type="pct"/>
            <w:shd w:val="clear" w:color="auto" w:fill="009999"/>
            <w:tcMar>
              <w:top w:w="0" w:type="dxa"/>
              <w:left w:w="108" w:type="dxa"/>
              <w:bottom w:w="0" w:type="dxa"/>
              <w:right w:w="108" w:type="dxa"/>
            </w:tcMar>
            <w:vAlign w:val="bottom"/>
          </w:tcPr>
          <w:p w14:paraId="632512A7" w14:textId="44F74FDA" w:rsidR="007525B2" w:rsidRPr="003E6544" w:rsidRDefault="00616722" w:rsidP="003E6544">
            <w:pPr>
              <w:spacing w:beforeLines="20" w:before="48" w:afterLines="20" w:after="48"/>
              <w:jc w:val="center"/>
              <w:rPr>
                <w:b/>
                <w:color w:val="FFFFFF" w:themeColor="background1"/>
                <w:sz w:val="22"/>
                <w:szCs w:val="22"/>
              </w:rPr>
            </w:pPr>
            <w:r w:rsidRPr="003E6544">
              <w:rPr>
                <w:b/>
                <w:color w:val="FFFFFF" w:themeColor="background1"/>
                <w:sz w:val="22"/>
                <w:szCs w:val="22"/>
              </w:rPr>
              <w:t>Household Data</w:t>
            </w:r>
            <w:r w:rsidR="00C75DFB" w:rsidRPr="003E6544">
              <w:rPr>
                <w:b/>
                <w:color w:val="FFFFFF" w:themeColor="background1"/>
                <w:sz w:val="22"/>
                <w:szCs w:val="22"/>
              </w:rPr>
              <w:t xml:space="preserve"> obtained</w:t>
            </w:r>
          </w:p>
        </w:tc>
      </w:tr>
      <w:tr w:rsidR="0017419E" w:rsidRPr="0064690C" w14:paraId="210A315A" w14:textId="77777777" w:rsidTr="003E6544">
        <w:tc>
          <w:tcPr>
            <w:tcW w:w="414" w:type="pct"/>
            <w:shd w:val="clear" w:color="auto" w:fill="auto"/>
            <w:tcMar>
              <w:top w:w="0" w:type="dxa"/>
              <w:left w:w="108" w:type="dxa"/>
              <w:bottom w:w="0" w:type="dxa"/>
              <w:right w:w="108" w:type="dxa"/>
            </w:tcMar>
          </w:tcPr>
          <w:p w14:paraId="403C38B6" w14:textId="4398390D" w:rsidR="0017419E" w:rsidRPr="00484063" w:rsidRDefault="0017419E" w:rsidP="003E6544">
            <w:pPr>
              <w:spacing w:beforeLines="20" w:before="48" w:afterLines="20" w:after="48"/>
              <w:rPr>
                <w:rFonts w:asciiTheme="minorHAnsi" w:hAnsiTheme="minorHAnsi"/>
                <w:color w:val="000000"/>
                <w:sz w:val="22"/>
                <w:szCs w:val="22"/>
              </w:rPr>
            </w:pPr>
            <w:r w:rsidRPr="00484063">
              <w:rPr>
                <w:sz w:val="22"/>
                <w:szCs w:val="22"/>
              </w:rPr>
              <w:t>LA1</w:t>
            </w:r>
          </w:p>
        </w:tc>
        <w:tc>
          <w:tcPr>
            <w:tcW w:w="1354" w:type="pct"/>
            <w:shd w:val="clear" w:color="auto" w:fill="auto"/>
            <w:tcMar>
              <w:top w:w="0" w:type="dxa"/>
              <w:left w:w="108" w:type="dxa"/>
              <w:bottom w:w="0" w:type="dxa"/>
              <w:right w:w="108" w:type="dxa"/>
            </w:tcMar>
          </w:tcPr>
          <w:p w14:paraId="61587721" w14:textId="07FE1319" w:rsidR="0017419E" w:rsidRPr="00484063" w:rsidRDefault="00B568AF" w:rsidP="003E6544">
            <w:pPr>
              <w:spacing w:beforeLines="20" w:before="48" w:afterLines="20" w:after="48"/>
              <w:rPr>
                <w:rFonts w:asciiTheme="minorHAnsi" w:hAnsiTheme="minorHAnsi"/>
                <w:color w:val="000000"/>
                <w:sz w:val="22"/>
                <w:szCs w:val="22"/>
              </w:rPr>
            </w:pPr>
            <w:r w:rsidRPr="00484063">
              <w:rPr>
                <w:rFonts w:asciiTheme="minorHAnsi" w:hAnsiTheme="minorHAnsi"/>
                <w:color w:val="000000"/>
                <w:sz w:val="22"/>
                <w:szCs w:val="22"/>
              </w:rPr>
              <w:t>Four Houses Corner</w:t>
            </w:r>
            <w:r w:rsidR="00747925">
              <w:rPr>
                <w:rFonts w:asciiTheme="minorHAnsi" w:hAnsiTheme="minorHAnsi"/>
                <w:color w:val="000000"/>
                <w:sz w:val="22"/>
                <w:szCs w:val="22"/>
              </w:rPr>
              <w:t>, Reading Road, Ufton Nervet</w:t>
            </w:r>
          </w:p>
        </w:tc>
        <w:tc>
          <w:tcPr>
            <w:tcW w:w="396" w:type="pct"/>
            <w:tcMar>
              <w:top w:w="0" w:type="dxa"/>
              <w:left w:w="108" w:type="dxa"/>
              <w:bottom w:w="0" w:type="dxa"/>
              <w:right w:w="108" w:type="dxa"/>
            </w:tcMar>
          </w:tcPr>
          <w:p w14:paraId="19DF251A" w14:textId="34E4C47D" w:rsidR="0017419E" w:rsidRPr="00484063" w:rsidRDefault="00B568AF"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RG7 4QJ</w:t>
            </w:r>
          </w:p>
        </w:tc>
        <w:tc>
          <w:tcPr>
            <w:tcW w:w="890" w:type="pct"/>
            <w:tcMar>
              <w:top w:w="0" w:type="dxa"/>
              <w:left w:w="108" w:type="dxa"/>
              <w:bottom w:w="0" w:type="dxa"/>
              <w:right w:w="108" w:type="dxa"/>
            </w:tcMar>
          </w:tcPr>
          <w:p w14:paraId="209F1071" w14:textId="20C244FE" w:rsidR="0017419E" w:rsidRPr="00484063" w:rsidRDefault="00484063"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Permanent Authorised</w:t>
            </w:r>
          </w:p>
        </w:tc>
        <w:tc>
          <w:tcPr>
            <w:tcW w:w="592" w:type="pct"/>
            <w:tcMar>
              <w:left w:w="108" w:type="dxa"/>
              <w:right w:w="108" w:type="dxa"/>
            </w:tcMar>
            <w:vAlign w:val="center"/>
          </w:tcPr>
          <w:p w14:paraId="11468928" w14:textId="5BCA2C58" w:rsidR="0017419E" w:rsidRPr="00C73BC5" w:rsidRDefault="00B568AF"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Local Authority</w:t>
            </w:r>
          </w:p>
        </w:tc>
        <w:tc>
          <w:tcPr>
            <w:tcW w:w="396" w:type="pct"/>
            <w:tcMar>
              <w:left w:w="108" w:type="dxa"/>
              <w:right w:w="108" w:type="dxa"/>
            </w:tcMar>
            <w:vAlign w:val="center"/>
          </w:tcPr>
          <w:p w14:paraId="5A088FA8" w14:textId="2CEB435E" w:rsidR="0017419E"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7*</w:t>
            </w:r>
          </w:p>
        </w:tc>
        <w:tc>
          <w:tcPr>
            <w:tcW w:w="494" w:type="pct"/>
            <w:tcMar>
              <w:left w:w="108" w:type="dxa"/>
              <w:right w:w="108" w:type="dxa"/>
            </w:tcMar>
            <w:vAlign w:val="center"/>
          </w:tcPr>
          <w:p w14:paraId="157C0EDA" w14:textId="52108595" w:rsidR="0017419E" w:rsidRPr="00C73BC5" w:rsidRDefault="00484063"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7</w:t>
            </w:r>
          </w:p>
        </w:tc>
        <w:tc>
          <w:tcPr>
            <w:tcW w:w="464" w:type="pct"/>
            <w:tcMar>
              <w:top w:w="0" w:type="dxa"/>
              <w:left w:w="108" w:type="dxa"/>
              <w:bottom w:w="0" w:type="dxa"/>
              <w:right w:w="108" w:type="dxa"/>
            </w:tcMar>
            <w:vAlign w:val="center"/>
          </w:tcPr>
          <w:p w14:paraId="53528D79" w14:textId="2AFADF50" w:rsidR="0017419E"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7</w:t>
            </w:r>
          </w:p>
        </w:tc>
      </w:tr>
      <w:tr w:rsidR="0017419E" w:rsidRPr="0064690C" w14:paraId="6FC8AA58" w14:textId="77777777" w:rsidTr="003E6544">
        <w:tc>
          <w:tcPr>
            <w:tcW w:w="414" w:type="pct"/>
            <w:shd w:val="clear" w:color="auto" w:fill="auto"/>
            <w:tcMar>
              <w:top w:w="0" w:type="dxa"/>
              <w:left w:w="108" w:type="dxa"/>
              <w:bottom w:w="0" w:type="dxa"/>
              <w:right w:w="108" w:type="dxa"/>
            </w:tcMar>
          </w:tcPr>
          <w:p w14:paraId="043CDB23" w14:textId="4B3C4759" w:rsidR="0017419E" w:rsidRPr="00484063" w:rsidRDefault="00503FAC" w:rsidP="003E6544">
            <w:pPr>
              <w:spacing w:beforeLines="20" w:before="48" w:afterLines="20" w:after="48"/>
              <w:rPr>
                <w:rFonts w:asciiTheme="minorHAnsi" w:hAnsiTheme="minorHAnsi"/>
                <w:color w:val="000000"/>
                <w:sz w:val="22"/>
                <w:szCs w:val="22"/>
              </w:rPr>
            </w:pPr>
            <w:r w:rsidRPr="00484063">
              <w:rPr>
                <w:sz w:val="22"/>
                <w:szCs w:val="22"/>
              </w:rPr>
              <w:t>Priv</w:t>
            </w:r>
            <w:r w:rsidR="0017419E" w:rsidRPr="00484063">
              <w:rPr>
                <w:sz w:val="22"/>
                <w:szCs w:val="22"/>
              </w:rPr>
              <w:t>1</w:t>
            </w:r>
          </w:p>
        </w:tc>
        <w:tc>
          <w:tcPr>
            <w:tcW w:w="1354" w:type="pct"/>
            <w:shd w:val="clear" w:color="auto" w:fill="auto"/>
            <w:tcMar>
              <w:top w:w="0" w:type="dxa"/>
              <w:left w:w="108" w:type="dxa"/>
              <w:bottom w:w="0" w:type="dxa"/>
              <w:right w:w="108" w:type="dxa"/>
            </w:tcMar>
          </w:tcPr>
          <w:p w14:paraId="2DAF7C66" w14:textId="54EB5F12" w:rsidR="0017419E" w:rsidRPr="00484063" w:rsidRDefault="00484063" w:rsidP="003E6544">
            <w:pPr>
              <w:spacing w:beforeLines="20" w:before="48" w:afterLines="20" w:after="48"/>
              <w:rPr>
                <w:rFonts w:asciiTheme="minorHAnsi" w:hAnsiTheme="minorHAnsi"/>
                <w:color w:val="000000"/>
                <w:sz w:val="22"/>
                <w:szCs w:val="22"/>
              </w:rPr>
            </w:pPr>
            <w:r w:rsidRPr="00484063">
              <w:rPr>
                <w:rFonts w:asciiTheme="minorHAnsi" w:hAnsiTheme="minorHAnsi"/>
                <w:color w:val="000000"/>
                <w:sz w:val="22"/>
                <w:szCs w:val="22"/>
              </w:rPr>
              <w:t>Paices Hill, Aldermaston</w:t>
            </w:r>
          </w:p>
        </w:tc>
        <w:tc>
          <w:tcPr>
            <w:tcW w:w="396" w:type="pct"/>
            <w:tcMar>
              <w:top w:w="0" w:type="dxa"/>
              <w:left w:w="108" w:type="dxa"/>
              <w:bottom w:w="0" w:type="dxa"/>
              <w:right w:w="108" w:type="dxa"/>
            </w:tcMar>
          </w:tcPr>
          <w:p w14:paraId="40440EC0" w14:textId="705FC7EE" w:rsidR="0017419E" w:rsidRPr="00484063" w:rsidRDefault="00484063"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RG7 4PG</w:t>
            </w:r>
          </w:p>
        </w:tc>
        <w:tc>
          <w:tcPr>
            <w:tcW w:w="890" w:type="pct"/>
            <w:tcMar>
              <w:top w:w="0" w:type="dxa"/>
              <w:left w:w="108" w:type="dxa"/>
              <w:bottom w:w="0" w:type="dxa"/>
              <w:right w:w="108" w:type="dxa"/>
            </w:tcMar>
          </w:tcPr>
          <w:p w14:paraId="0DF6B059" w14:textId="2363BD57" w:rsidR="0017419E" w:rsidRPr="00484063" w:rsidRDefault="00484063"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Permanent Authorised</w:t>
            </w:r>
          </w:p>
        </w:tc>
        <w:tc>
          <w:tcPr>
            <w:tcW w:w="592" w:type="pct"/>
            <w:tcMar>
              <w:left w:w="108" w:type="dxa"/>
              <w:right w:w="108" w:type="dxa"/>
            </w:tcMar>
            <w:vAlign w:val="center"/>
          </w:tcPr>
          <w:p w14:paraId="4BD7FC94" w14:textId="40043190" w:rsidR="0017419E" w:rsidRPr="00C73BC5" w:rsidRDefault="00484063"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Private</w:t>
            </w:r>
          </w:p>
        </w:tc>
        <w:tc>
          <w:tcPr>
            <w:tcW w:w="396" w:type="pct"/>
            <w:tcMar>
              <w:left w:w="108" w:type="dxa"/>
              <w:right w:w="108" w:type="dxa"/>
            </w:tcMar>
            <w:vAlign w:val="center"/>
          </w:tcPr>
          <w:p w14:paraId="3801A716" w14:textId="6B6BF467" w:rsidR="0017419E"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24</w:t>
            </w:r>
          </w:p>
        </w:tc>
        <w:tc>
          <w:tcPr>
            <w:tcW w:w="494" w:type="pct"/>
            <w:tcMar>
              <w:left w:w="108" w:type="dxa"/>
              <w:right w:w="108" w:type="dxa"/>
            </w:tcMar>
            <w:vAlign w:val="center"/>
          </w:tcPr>
          <w:p w14:paraId="3273D15B" w14:textId="7B9D11E8" w:rsidR="0017419E"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24</w:t>
            </w:r>
          </w:p>
        </w:tc>
        <w:tc>
          <w:tcPr>
            <w:tcW w:w="464" w:type="pct"/>
            <w:tcMar>
              <w:top w:w="0" w:type="dxa"/>
              <w:left w:w="108" w:type="dxa"/>
              <w:bottom w:w="0" w:type="dxa"/>
              <w:right w:w="108" w:type="dxa"/>
            </w:tcMar>
            <w:vAlign w:val="center"/>
          </w:tcPr>
          <w:p w14:paraId="20336C26" w14:textId="2009D5D1" w:rsidR="0017419E"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13</w:t>
            </w:r>
          </w:p>
        </w:tc>
      </w:tr>
      <w:tr w:rsidR="0017419E" w:rsidRPr="0064690C" w14:paraId="4923FA6F" w14:textId="77777777" w:rsidTr="003E6544">
        <w:tc>
          <w:tcPr>
            <w:tcW w:w="414" w:type="pct"/>
            <w:shd w:val="clear" w:color="auto" w:fill="auto"/>
            <w:tcMar>
              <w:top w:w="0" w:type="dxa"/>
              <w:left w:w="108" w:type="dxa"/>
              <w:bottom w:w="0" w:type="dxa"/>
              <w:right w:w="108" w:type="dxa"/>
            </w:tcMar>
          </w:tcPr>
          <w:p w14:paraId="003BE92F" w14:textId="42CEDA23" w:rsidR="0017419E" w:rsidRPr="00484063" w:rsidRDefault="00503FAC" w:rsidP="003E6544">
            <w:pPr>
              <w:spacing w:beforeLines="20" w:before="48" w:afterLines="20" w:after="48"/>
              <w:rPr>
                <w:rFonts w:asciiTheme="minorHAnsi" w:hAnsiTheme="minorHAnsi"/>
                <w:color w:val="000000"/>
                <w:sz w:val="22"/>
                <w:szCs w:val="22"/>
              </w:rPr>
            </w:pPr>
            <w:r w:rsidRPr="00484063">
              <w:rPr>
                <w:sz w:val="22"/>
                <w:szCs w:val="22"/>
              </w:rPr>
              <w:t>Priv</w:t>
            </w:r>
            <w:r w:rsidR="0017419E" w:rsidRPr="00484063">
              <w:rPr>
                <w:sz w:val="22"/>
                <w:szCs w:val="22"/>
              </w:rPr>
              <w:t>2</w:t>
            </w:r>
          </w:p>
        </w:tc>
        <w:tc>
          <w:tcPr>
            <w:tcW w:w="1354" w:type="pct"/>
            <w:shd w:val="clear" w:color="auto" w:fill="auto"/>
            <w:tcMar>
              <w:top w:w="0" w:type="dxa"/>
              <w:left w:w="108" w:type="dxa"/>
              <w:bottom w:w="0" w:type="dxa"/>
              <w:right w:w="108" w:type="dxa"/>
            </w:tcMar>
          </w:tcPr>
          <w:p w14:paraId="156D6341" w14:textId="06744B14" w:rsidR="0017419E" w:rsidRPr="00484063" w:rsidRDefault="00484063" w:rsidP="003E6544">
            <w:pPr>
              <w:spacing w:beforeLines="20" w:before="48" w:afterLines="20" w:after="48"/>
              <w:rPr>
                <w:rFonts w:asciiTheme="minorHAnsi" w:hAnsiTheme="minorHAnsi"/>
                <w:color w:val="000000"/>
                <w:sz w:val="22"/>
                <w:szCs w:val="22"/>
              </w:rPr>
            </w:pPr>
            <w:r w:rsidRPr="00FE778B">
              <w:rPr>
                <w:rFonts w:asciiTheme="minorHAnsi" w:hAnsiTheme="minorHAnsi"/>
                <w:color w:val="000000"/>
                <w:sz w:val="22"/>
                <w:szCs w:val="22"/>
              </w:rPr>
              <w:t>Mayfai</w:t>
            </w:r>
            <w:r w:rsidRPr="00484063">
              <w:rPr>
                <w:rFonts w:asciiTheme="minorHAnsi" w:hAnsiTheme="minorHAnsi"/>
                <w:color w:val="000000"/>
                <w:sz w:val="22"/>
                <w:szCs w:val="22"/>
              </w:rPr>
              <w:t>, Land Adjacent to Old Forge House, Beenham</w:t>
            </w:r>
          </w:p>
        </w:tc>
        <w:tc>
          <w:tcPr>
            <w:tcW w:w="396" w:type="pct"/>
            <w:tcMar>
              <w:top w:w="0" w:type="dxa"/>
              <w:left w:w="108" w:type="dxa"/>
              <w:bottom w:w="0" w:type="dxa"/>
              <w:right w:w="108" w:type="dxa"/>
            </w:tcMar>
          </w:tcPr>
          <w:p w14:paraId="20856A6A" w14:textId="0016E169" w:rsidR="0017419E" w:rsidRPr="00484063" w:rsidRDefault="00484063"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RG7 5QE</w:t>
            </w:r>
          </w:p>
        </w:tc>
        <w:tc>
          <w:tcPr>
            <w:tcW w:w="890" w:type="pct"/>
            <w:tcMar>
              <w:top w:w="0" w:type="dxa"/>
              <w:left w:w="108" w:type="dxa"/>
              <w:bottom w:w="0" w:type="dxa"/>
              <w:right w:w="108" w:type="dxa"/>
            </w:tcMar>
          </w:tcPr>
          <w:p w14:paraId="39503663" w14:textId="0B3BED17" w:rsidR="0017419E" w:rsidRPr="00484063" w:rsidRDefault="00484063"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Permanent Authorised</w:t>
            </w:r>
          </w:p>
        </w:tc>
        <w:tc>
          <w:tcPr>
            <w:tcW w:w="592" w:type="pct"/>
            <w:tcMar>
              <w:left w:w="108" w:type="dxa"/>
              <w:right w:w="108" w:type="dxa"/>
            </w:tcMar>
            <w:vAlign w:val="center"/>
          </w:tcPr>
          <w:p w14:paraId="554343C3" w14:textId="2EA20F97" w:rsidR="0017419E" w:rsidRPr="00C73BC5" w:rsidRDefault="00484063"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Private</w:t>
            </w:r>
          </w:p>
        </w:tc>
        <w:tc>
          <w:tcPr>
            <w:tcW w:w="396" w:type="pct"/>
            <w:tcMar>
              <w:left w:w="108" w:type="dxa"/>
              <w:right w:w="108" w:type="dxa"/>
            </w:tcMar>
            <w:vAlign w:val="center"/>
          </w:tcPr>
          <w:p w14:paraId="108B7AD7" w14:textId="1A3CE6A7" w:rsidR="0017419E" w:rsidRPr="00C73BC5" w:rsidRDefault="00484063"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c>
          <w:tcPr>
            <w:tcW w:w="494" w:type="pct"/>
            <w:tcMar>
              <w:left w:w="108" w:type="dxa"/>
              <w:right w:w="108" w:type="dxa"/>
            </w:tcMar>
            <w:vAlign w:val="center"/>
          </w:tcPr>
          <w:p w14:paraId="51F44C44" w14:textId="2D69637E" w:rsidR="0017419E" w:rsidRPr="00C73BC5" w:rsidRDefault="00484063"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c>
          <w:tcPr>
            <w:tcW w:w="464" w:type="pct"/>
            <w:tcMar>
              <w:top w:w="0" w:type="dxa"/>
              <w:left w:w="108" w:type="dxa"/>
              <w:bottom w:w="0" w:type="dxa"/>
              <w:right w:w="108" w:type="dxa"/>
            </w:tcMar>
            <w:vAlign w:val="center"/>
          </w:tcPr>
          <w:p w14:paraId="241EB574" w14:textId="345C6A13" w:rsidR="0017419E"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r>
      <w:tr w:rsidR="00484063" w:rsidRPr="0064690C" w14:paraId="7DBDBB11" w14:textId="77777777" w:rsidTr="003E6544">
        <w:tc>
          <w:tcPr>
            <w:tcW w:w="414" w:type="pct"/>
            <w:shd w:val="clear" w:color="auto" w:fill="auto"/>
            <w:tcMar>
              <w:top w:w="0" w:type="dxa"/>
              <w:left w:w="108" w:type="dxa"/>
              <w:bottom w:w="0" w:type="dxa"/>
              <w:right w:w="108" w:type="dxa"/>
            </w:tcMar>
          </w:tcPr>
          <w:p w14:paraId="044B3F42" w14:textId="19C0D96F" w:rsidR="00484063" w:rsidRPr="00484063" w:rsidRDefault="00484063" w:rsidP="003E6544">
            <w:pPr>
              <w:spacing w:beforeLines="20" w:before="48" w:afterLines="20" w:after="48"/>
              <w:rPr>
                <w:rFonts w:asciiTheme="minorHAnsi" w:hAnsiTheme="minorHAnsi"/>
                <w:color w:val="000000"/>
                <w:sz w:val="22"/>
                <w:szCs w:val="22"/>
              </w:rPr>
            </w:pPr>
            <w:r w:rsidRPr="00484063">
              <w:rPr>
                <w:sz w:val="22"/>
                <w:szCs w:val="22"/>
              </w:rPr>
              <w:t>Unauth1</w:t>
            </w:r>
          </w:p>
        </w:tc>
        <w:tc>
          <w:tcPr>
            <w:tcW w:w="1354" w:type="pct"/>
            <w:shd w:val="clear" w:color="auto" w:fill="auto"/>
            <w:tcMar>
              <w:top w:w="0" w:type="dxa"/>
              <w:left w:w="108" w:type="dxa"/>
              <w:bottom w:w="0" w:type="dxa"/>
              <w:right w:w="108" w:type="dxa"/>
            </w:tcMar>
          </w:tcPr>
          <w:p w14:paraId="55C66CAA" w14:textId="7463031E" w:rsidR="00484063" w:rsidRPr="00484063" w:rsidRDefault="00484063" w:rsidP="003E6544">
            <w:pPr>
              <w:spacing w:beforeLines="20" w:before="48" w:afterLines="20" w:after="48"/>
              <w:rPr>
                <w:rFonts w:asciiTheme="minorHAnsi" w:hAnsiTheme="minorHAnsi"/>
                <w:color w:val="000000"/>
                <w:sz w:val="22"/>
                <w:szCs w:val="22"/>
              </w:rPr>
            </w:pPr>
            <w:r w:rsidRPr="00484063">
              <w:rPr>
                <w:rFonts w:asciiTheme="minorHAnsi" w:hAnsiTheme="minorHAnsi"/>
                <w:color w:val="000000"/>
                <w:sz w:val="22"/>
                <w:szCs w:val="22"/>
              </w:rPr>
              <w:t>Stab</w:t>
            </w:r>
            <w:r w:rsidR="00BD36E4">
              <w:rPr>
                <w:rFonts w:asciiTheme="minorHAnsi" w:hAnsiTheme="minorHAnsi"/>
                <w:color w:val="000000"/>
                <w:sz w:val="22"/>
                <w:szCs w:val="22"/>
              </w:rPr>
              <w:t>l</w:t>
            </w:r>
            <w:r w:rsidRPr="00484063">
              <w:rPr>
                <w:rFonts w:asciiTheme="minorHAnsi" w:hAnsiTheme="minorHAnsi"/>
                <w:color w:val="000000"/>
                <w:sz w:val="22"/>
                <w:szCs w:val="22"/>
              </w:rPr>
              <w:t>e View, The Hermitage, Oare</w:t>
            </w:r>
          </w:p>
        </w:tc>
        <w:tc>
          <w:tcPr>
            <w:tcW w:w="396" w:type="pct"/>
            <w:tcMar>
              <w:top w:w="0" w:type="dxa"/>
              <w:left w:w="108" w:type="dxa"/>
              <w:bottom w:w="0" w:type="dxa"/>
              <w:right w:w="108" w:type="dxa"/>
            </w:tcMar>
          </w:tcPr>
          <w:p w14:paraId="38439D9C" w14:textId="6CE2CE37" w:rsidR="00484063" w:rsidRPr="00484063" w:rsidRDefault="00484063"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RG18 9SG</w:t>
            </w:r>
          </w:p>
        </w:tc>
        <w:tc>
          <w:tcPr>
            <w:tcW w:w="890" w:type="pct"/>
            <w:tcMar>
              <w:top w:w="0" w:type="dxa"/>
              <w:left w:w="108" w:type="dxa"/>
              <w:bottom w:w="0" w:type="dxa"/>
              <w:right w:w="108" w:type="dxa"/>
            </w:tcMar>
          </w:tcPr>
          <w:p w14:paraId="15023A13" w14:textId="3C15A5F4" w:rsidR="00484063" w:rsidRPr="00484063" w:rsidRDefault="00484063"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Unauthorised</w:t>
            </w:r>
          </w:p>
        </w:tc>
        <w:tc>
          <w:tcPr>
            <w:tcW w:w="592" w:type="pct"/>
            <w:tcMar>
              <w:left w:w="108" w:type="dxa"/>
              <w:right w:w="108" w:type="dxa"/>
            </w:tcMar>
            <w:vAlign w:val="center"/>
          </w:tcPr>
          <w:p w14:paraId="117A9A8F" w14:textId="1934F3AF" w:rsidR="00484063" w:rsidRPr="00C73BC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Private</w:t>
            </w:r>
          </w:p>
        </w:tc>
        <w:tc>
          <w:tcPr>
            <w:tcW w:w="396" w:type="pct"/>
            <w:tcMar>
              <w:left w:w="108" w:type="dxa"/>
              <w:right w:w="108" w:type="dxa"/>
            </w:tcMar>
            <w:vAlign w:val="center"/>
          </w:tcPr>
          <w:p w14:paraId="27882782" w14:textId="258C5915" w:rsidR="00484063" w:rsidRPr="00C73BC5" w:rsidRDefault="00484063"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c>
          <w:tcPr>
            <w:tcW w:w="494" w:type="pct"/>
            <w:tcMar>
              <w:left w:w="108" w:type="dxa"/>
              <w:right w:w="108" w:type="dxa"/>
            </w:tcMar>
            <w:vAlign w:val="center"/>
          </w:tcPr>
          <w:p w14:paraId="2D606B9D" w14:textId="1442537F" w:rsidR="00484063" w:rsidRPr="00C73BC5" w:rsidRDefault="00484063"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c>
          <w:tcPr>
            <w:tcW w:w="464" w:type="pct"/>
            <w:tcMar>
              <w:top w:w="0" w:type="dxa"/>
              <w:left w:w="108" w:type="dxa"/>
              <w:bottom w:w="0" w:type="dxa"/>
              <w:right w:w="108" w:type="dxa"/>
            </w:tcMar>
            <w:vAlign w:val="center"/>
          </w:tcPr>
          <w:p w14:paraId="670D2127" w14:textId="21627221" w:rsidR="00484063" w:rsidRPr="00C73BC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r>
      <w:tr w:rsidR="00747925" w:rsidRPr="0064690C" w14:paraId="5322F33A" w14:textId="77777777" w:rsidTr="003E6544">
        <w:tc>
          <w:tcPr>
            <w:tcW w:w="414" w:type="pct"/>
            <w:shd w:val="clear" w:color="auto" w:fill="auto"/>
            <w:tcMar>
              <w:top w:w="0" w:type="dxa"/>
              <w:left w:w="108" w:type="dxa"/>
              <w:bottom w:w="0" w:type="dxa"/>
              <w:right w:w="108" w:type="dxa"/>
            </w:tcMar>
          </w:tcPr>
          <w:p w14:paraId="69CBA529" w14:textId="2119227E" w:rsidR="00747925" w:rsidRPr="00484063" w:rsidRDefault="00747925" w:rsidP="003E6544">
            <w:pPr>
              <w:spacing w:beforeLines="20" w:before="48" w:afterLines="20" w:after="48"/>
              <w:rPr>
                <w:sz w:val="22"/>
                <w:szCs w:val="22"/>
              </w:rPr>
            </w:pPr>
            <w:r>
              <w:rPr>
                <w:sz w:val="22"/>
                <w:szCs w:val="22"/>
              </w:rPr>
              <w:t>Unauth2</w:t>
            </w:r>
          </w:p>
        </w:tc>
        <w:tc>
          <w:tcPr>
            <w:tcW w:w="1354" w:type="pct"/>
            <w:shd w:val="clear" w:color="auto" w:fill="auto"/>
            <w:tcMar>
              <w:top w:w="0" w:type="dxa"/>
              <w:left w:w="108" w:type="dxa"/>
              <w:bottom w:w="0" w:type="dxa"/>
              <w:right w:w="108" w:type="dxa"/>
            </w:tcMar>
          </w:tcPr>
          <w:p w14:paraId="448C1559" w14:textId="736C7746" w:rsidR="00747925" w:rsidRPr="00484063" w:rsidRDefault="00747925" w:rsidP="003E6544">
            <w:pPr>
              <w:spacing w:beforeLines="20" w:before="48" w:afterLines="20" w:after="48"/>
              <w:rPr>
                <w:rFonts w:asciiTheme="minorHAnsi" w:hAnsiTheme="minorHAnsi"/>
                <w:color w:val="000000"/>
                <w:sz w:val="22"/>
                <w:szCs w:val="22"/>
              </w:rPr>
            </w:pPr>
            <w:r>
              <w:rPr>
                <w:rFonts w:asciiTheme="minorHAnsi" w:hAnsiTheme="minorHAnsi"/>
                <w:color w:val="000000"/>
                <w:sz w:val="22"/>
                <w:szCs w:val="22"/>
              </w:rPr>
              <w:t>Bath Pond (Land west of Hillplace), Bath Road, Woolhampton</w:t>
            </w:r>
          </w:p>
        </w:tc>
        <w:tc>
          <w:tcPr>
            <w:tcW w:w="396" w:type="pct"/>
            <w:tcMar>
              <w:top w:w="0" w:type="dxa"/>
              <w:left w:w="108" w:type="dxa"/>
              <w:bottom w:w="0" w:type="dxa"/>
              <w:right w:w="108" w:type="dxa"/>
            </w:tcMar>
          </w:tcPr>
          <w:p w14:paraId="4D1BD00C" w14:textId="3F3F39CC" w:rsidR="00747925" w:rsidRPr="00484063"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RG7 5RH</w:t>
            </w:r>
          </w:p>
        </w:tc>
        <w:tc>
          <w:tcPr>
            <w:tcW w:w="890" w:type="pct"/>
            <w:tcMar>
              <w:top w:w="0" w:type="dxa"/>
              <w:left w:w="108" w:type="dxa"/>
              <w:bottom w:w="0" w:type="dxa"/>
              <w:right w:w="108" w:type="dxa"/>
            </w:tcMar>
          </w:tcPr>
          <w:p w14:paraId="3F093899" w14:textId="217106C5" w:rsidR="00747925" w:rsidRPr="00484063"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Unauthorised</w:t>
            </w:r>
          </w:p>
        </w:tc>
        <w:tc>
          <w:tcPr>
            <w:tcW w:w="592" w:type="pct"/>
            <w:tcMar>
              <w:left w:w="108" w:type="dxa"/>
              <w:right w:w="108" w:type="dxa"/>
            </w:tcMar>
            <w:vAlign w:val="center"/>
          </w:tcPr>
          <w:p w14:paraId="5FCD100F" w14:textId="054C6DEF" w:rsidR="00747925" w:rsidRPr="00C73BC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Private</w:t>
            </w:r>
          </w:p>
        </w:tc>
        <w:tc>
          <w:tcPr>
            <w:tcW w:w="396" w:type="pct"/>
            <w:tcMar>
              <w:left w:w="108" w:type="dxa"/>
              <w:right w:w="108" w:type="dxa"/>
            </w:tcMar>
            <w:vAlign w:val="center"/>
          </w:tcPr>
          <w:p w14:paraId="58EDFE6B" w14:textId="60222F22" w:rsidR="0074792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2</w:t>
            </w:r>
          </w:p>
        </w:tc>
        <w:tc>
          <w:tcPr>
            <w:tcW w:w="494" w:type="pct"/>
            <w:tcMar>
              <w:left w:w="108" w:type="dxa"/>
              <w:right w:w="108" w:type="dxa"/>
            </w:tcMar>
            <w:vAlign w:val="center"/>
          </w:tcPr>
          <w:p w14:paraId="3D462916" w14:textId="1A7705DE" w:rsidR="0074792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2</w:t>
            </w:r>
          </w:p>
        </w:tc>
        <w:tc>
          <w:tcPr>
            <w:tcW w:w="464" w:type="pct"/>
            <w:tcMar>
              <w:top w:w="0" w:type="dxa"/>
              <w:left w:w="108" w:type="dxa"/>
              <w:bottom w:w="0" w:type="dxa"/>
              <w:right w:w="108" w:type="dxa"/>
            </w:tcMar>
            <w:vAlign w:val="center"/>
          </w:tcPr>
          <w:p w14:paraId="47A2FF24" w14:textId="6328D94F" w:rsidR="00747925" w:rsidRPr="00C73BC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2</w:t>
            </w:r>
          </w:p>
        </w:tc>
      </w:tr>
      <w:tr w:rsidR="00747925" w:rsidRPr="0064690C" w14:paraId="2C156A9E" w14:textId="77777777" w:rsidTr="003E6544">
        <w:tc>
          <w:tcPr>
            <w:tcW w:w="414" w:type="pct"/>
            <w:shd w:val="clear" w:color="auto" w:fill="auto"/>
            <w:tcMar>
              <w:top w:w="0" w:type="dxa"/>
              <w:left w:w="108" w:type="dxa"/>
              <w:bottom w:w="0" w:type="dxa"/>
              <w:right w:w="108" w:type="dxa"/>
            </w:tcMar>
          </w:tcPr>
          <w:p w14:paraId="4FF8AE3E" w14:textId="6F8B3201" w:rsidR="00747925" w:rsidRPr="00484063" w:rsidRDefault="00747925" w:rsidP="003E6544">
            <w:pPr>
              <w:spacing w:beforeLines="20" w:before="48" w:afterLines="20" w:after="48"/>
              <w:rPr>
                <w:sz w:val="22"/>
                <w:szCs w:val="22"/>
              </w:rPr>
            </w:pPr>
            <w:r>
              <w:rPr>
                <w:sz w:val="22"/>
                <w:szCs w:val="22"/>
              </w:rPr>
              <w:t>Unauth3</w:t>
            </w:r>
          </w:p>
        </w:tc>
        <w:tc>
          <w:tcPr>
            <w:tcW w:w="1354" w:type="pct"/>
            <w:shd w:val="clear" w:color="auto" w:fill="auto"/>
            <w:tcMar>
              <w:top w:w="0" w:type="dxa"/>
              <w:left w:w="108" w:type="dxa"/>
              <w:bottom w:w="0" w:type="dxa"/>
              <w:right w:w="108" w:type="dxa"/>
            </w:tcMar>
          </w:tcPr>
          <w:p w14:paraId="124155A5" w14:textId="32851441" w:rsidR="00747925" w:rsidRPr="00484063" w:rsidRDefault="00747925" w:rsidP="003E6544">
            <w:pPr>
              <w:spacing w:beforeLines="20" w:before="48" w:afterLines="20" w:after="48"/>
              <w:rPr>
                <w:rFonts w:asciiTheme="minorHAnsi" w:hAnsiTheme="minorHAnsi"/>
                <w:color w:val="000000"/>
                <w:sz w:val="22"/>
                <w:szCs w:val="22"/>
              </w:rPr>
            </w:pPr>
            <w:r>
              <w:rPr>
                <w:rFonts w:asciiTheme="minorHAnsi" w:hAnsiTheme="minorHAnsi"/>
                <w:color w:val="000000"/>
                <w:sz w:val="22"/>
                <w:szCs w:val="22"/>
              </w:rPr>
              <w:t>Land north of the M4 on east side of Hampstead, Norreys Road, Hermitage</w:t>
            </w:r>
          </w:p>
        </w:tc>
        <w:tc>
          <w:tcPr>
            <w:tcW w:w="396" w:type="pct"/>
            <w:tcMar>
              <w:top w:w="0" w:type="dxa"/>
              <w:left w:w="108" w:type="dxa"/>
              <w:bottom w:w="0" w:type="dxa"/>
              <w:right w:w="108" w:type="dxa"/>
            </w:tcMar>
          </w:tcPr>
          <w:p w14:paraId="6F7F5B9A" w14:textId="1275CDFB" w:rsidR="00747925" w:rsidRPr="00484063"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RG18 9RZ</w:t>
            </w:r>
          </w:p>
        </w:tc>
        <w:tc>
          <w:tcPr>
            <w:tcW w:w="890" w:type="pct"/>
            <w:tcMar>
              <w:top w:w="0" w:type="dxa"/>
              <w:left w:w="108" w:type="dxa"/>
              <w:bottom w:w="0" w:type="dxa"/>
              <w:right w:w="108" w:type="dxa"/>
            </w:tcMar>
          </w:tcPr>
          <w:p w14:paraId="03EA19C9" w14:textId="6896378B" w:rsidR="00747925" w:rsidRPr="00484063"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Unauthorised</w:t>
            </w:r>
          </w:p>
        </w:tc>
        <w:tc>
          <w:tcPr>
            <w:tcW w:w="592" w:type="pct"/>
            <w:tcMar>
              <w:left w:w="108" w:type="dxa"/>
              <w:right w:w="108" w:type="dxa"/>
            </w:tcMar>
            <w:vAlign w:val="center"/>
          </w:tcPr>
          <w:p w14:paraId="46EBEACB" w14:textId="75642DAD" w:rsidR="00747925" w:rsidRPr="00C73BC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Private</w:t>
            </w:r>
          </w:p>
        </w:tc>
        <w:tc>
          <w:tcPr>
            <w:tcW w:w="396" w:type="pct"/>
            <w:tcMar>
              <w:left w:w="108" w:type="dxa"/>
              <w:right w:w="108" w:type="dxa"/>
            </w:tcMar>
            <w:vAlign w:val="center"/>
          </w:tcPr>
          <w:p w14:paraId="639B3F1E" w14:textId="3125865D" w:rsidR="0074792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c>
          <w:tcPr>
            <w:tcW w:w="494" w:type="pct"/>
            <w:tcMar>
              <w:left w:w="108" w:type="dxa"/>
              <w:right w:w="108" w:type="dxa"/>
            </w:tcMar>
            <w:vAlign w:val="center"/>
          </w:tcPr>
          <w:p w14:paraId="55D145C7" w14:textId="07A06F63" w:rsidR="0074792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c>
          <w:tcPr>
            <w:tcW w:w="464" w:type="pct"/>
            <w:tcMar>
              <w:top w:w="0" w:type="dxa"/>
              <w:left w:w="108" w:type="dxa"/>
              <w:bottom w:w="0" w:type="dxa"/>
              <w:right w:w="108" w:type="dxa"/>
            </w:tcMar>
            <w:vAlign w:val="center"/>
          </w:tcPr>
          <w:p w14:paraId="586EC200" w14:textId="30DDD506" w:rsidR="00747925" w:rsidRPr="00C73BC5" w:rsidRDefault="00747925"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1</w:t>
            </w:r>
          </w:p>
        </w:tc>
      </w:tr>
      <w:tr w:rsidR="00BD36E4" w:rsidRPr="0064690C" w14:paraId="6F82155F" w14:textId="77777777" w:rsidTr="003E6544">
        <w:tc>
          <w:tcPr>
            <w:tcW w:w="3646" w:type="pct"/>
            <w:gridSpan w:val="5"/>
            <w:shd w:val="clear" w:color="auto" w:fill="auto"/>
            <w:tcMar>
              <w:top w:w="0" w:type="dxa"/>
              <w:left w:w="108" w:type="dxa"/>
              <w:bottom w:w="0" w:type="dxa"/>
              <w:right w:w="108" w:type="dxa"/>
            </w:tcMar>
          </w:tcPr>
          <w:p w14:paraId="2822FF88" w14:textId="618EB844" w:rsidR="00BD36E4" w:rsidRDefault="00BD36E4" w:rsidP="003E6544">
            <w:pPr>
              <w:spacing w:beforeLines="20" w:before="48" w:afterLines="20" w:after="48"/>
              <w:jc w:val="left"/>
              <w:rPr>
                <w:rFonts w:asciiTheme="minorHAnsi" w:hAnsiTheme="minorHAnsi"/>
                <w:color w:val="000000"/>
                <w:sz w:val="22"/>
                <w:szCs w:val="22"/>
              </w:rPr>
            </w:pPr>
            <w:r>
              <w:rPr>
                <w:rFonts w:asciiTheme="minorHAnsi" w:hAnsiTheme="minorHAnsi"/>
                <w:b/>
                <w:sz w:val="22"/>
                <w:szCs w:val="22"/>
              </w:rPr>
              <w:t>West Berkshire</w:t>
            </w:r>
            <w:r w:rsidRPr="00C73BC5">
              <w:rPr>
                <w:rFonts w:asciiTheme="minorHAnsi" w:hAnsiTheme="minorHAnsi"/>
                <w:b/>
                <w:sz w:val="22"/>
                <w:szCs w:val="22"/>
              </w:rPr>
              <w:t xml:space="preserve"> District Total</w:t>
            </w:r>
            <w:r>
              <w:rPr>
                <w:rFonts w:asciiTheme="minorHAnsi" w:hAnsiTheme="minorHAnsi"/>
                <w:b/>
                <w:sz w:val="22"/>
                <w:szCs w:val="22"/>
              </w:rPr>
              <w:t xml:space="preserve"> Gypsy and Traveller Pitches</w:t>
            </w:r>
          </w:p>
        </w:tc>
        <w:tc>
          <w:tcPr>
            <w:tcW w:w="396" w:type="pct"/>
            <w:tcMar>
              <w:left w:w="108" w:type="dxa"/>
              <w:right w:w="108" w:type="dxa"/>
            </w:tcMar>
            <w:vAlign w:val="center"/>
          </w:tcPr>
          <w:p w14:paraId="61B1CA76" w14:textId="07DA1B6D" w:rsidR="00BD36E4" w:rsidRPr="00BD36E4" w:rsidRDefault="0051006C" w:rsidP="003E6544">
            <w:pPr>
              <w:spacing w:beforeLines="20" w:before="48" w:afterLines="20" w:after="48"/>
              <w:jc w:val="center"/>
              <w:rPr>
                <w:rFonts w:asciiTheme="minorHAnsi" w:hAnsiTheme="minorHAnsi"/>
                <w:b/>
                <w:color w:val="000000"/>
                <w:sz w:val="22"/>
                <w:szCs w:val="22"/>
              </w:rPr>
            </w:pPr>
            <w:r>
              <w:rPr>
                <w:rFonts w:asciiTheme="minorHAnsi" w:hAnsiTheme="minorHAnsi"/>
                <w:b/>
                <w:color w:val="000000"/>
                <w:sz w:val="22"/>
                <w:szCs w:val="22"/>
              </w:rPr>
              <w:t>3</w:t>
            </w:r>
            <w:r w:rsidR="00747925">
              <w:rPr>
                <w:rFonts w:asciiTheme="minorHAnsi" w:hAnsiTheme="minorHAnsi"/>
                <w:b/>
                <w:color w:val="000000"/>
                <w:sz w:val="22"/>
                <w:szCs w:val="22"/>
              </w:rPr>
              <w:t>6</w:t>
            </w:r>
          </w:p>
        </w:tc>
        <w:tc>
          <w:tcPr>
            <w:tcW w:w="494" w:type="pct"/>
            <w:tcMar>
              <w:left w:w="108" w:type="dxa"/>
              <w:right w:w="108" w:type="dxa"/>
            </w:tcMar>
            <w:vAlign w:val="center"/>
          </w:tcPr>
          <w:p w14:paraId="7CB10AB2" w14:textId="1793746D" w:rsidR="00BD36E4" w:rsidRPr="00BD36E4" w:rsidRDefault="0051006C" w:rsidP="003E6544">
            <w:pPr>
              <w:spacing w:beforeLines="20" w:before="48" w:afterLines="20" w:after="48"/>
              <w:jc w:val="center"/>
              <w:rPr>
                <w:rFonts w:asciiTheme="minorHAnsi" w:hAnsiTheme="minorHAnsi"/>
                <w:b/>
                <w:color w:val="000000"/>
                <w:sz w:val="22"/>
                <w:szCs w:val="22"/>
              </w:rPr>
            </w:pPr>
            <w:r>
              <w:rPr>
                <w:rFonts w:asciiTheme="minorHAnsi" w:hAnsiTheme="minorHAnsi"/>
                <w:b/>
                <w:color w:val="000000"/>
                <w:sz w:val="22"/>
                <w:szCs w:val="22"/>
              </w:rPr>
              <w:t>3</w:t>
            </w:r>
            <w:r w:rsidR="00747925">
              <w:rPr>
                <w:rFonts w:asciiTheme="minorHAnsi" w:hAnsiTheme="minorHAnsi"/>
                <w:b/>
                <w:color w:val="000000"/>
                <w:sz w:val="22"/>
                <w:szCs w:val="22"/>
              </w:rPr>
              <w:t>6</w:t>
            </w:r>
          </w:p>
        </w:tc>
        <w:tc>
          <w:tcPr>
            <w:tcW w:w="464" w:type="pct"/>
            <w:tcMar>
              <w:top w:w="0" w:type="dxa"/>
              <w:left w:w="108" w:type="dxa"/>
              <w:bottom w:w="0" w:type="dxa"/>
              <w:right w:w="108" w:type="dxa"/>
            </w:tcMar>
            <w:vAlign w:val="center"/>
          </w:tcPr>
          <w:p w14:paraId="2EF45C34" w14:textId="2E480FFE" w:rsidR="00BD36E4" w:rsidRPr="00BD36E4" w:rsidRDefault="0051006C" w:rsidP="003E6544">
            <w:pPr>
              <w:spacing w:beforeLines="20" w:before="48" w:afterLines="20" w:after="48"/>
              <w:jc w:val="center"/>
              <w:rPr>
                <w:rFonts w:asciiTheme="minorHAnsi" w:hAnsiTheme="minorHAnsi"/>
                <w:b/>
                <w:color w:val="000000"/>
                <w:sz w:val="22"/>
                <w:szCs w:val="22"/>
              </w:rPr>
            </w:pPr>
            <w:r>
              <w:rPr>
                <w:rFonts w:asciiTheme="minorHAnsi" w:hAnsiTheme="minorHAnsi"/>
                <w:b/>
                <w:color w:val="000000"/>
                <w:sz w:val="22"/>
                <w:szCs w:val="22"/>
              </w:rPr>
              <w:t>2</w:t>
            </w:r>
            <w:r w:rsidR="00747925">
              <w:rPr>
                <w:rFonts w:asciiTheme="minorHAnsi" w:hAnsiTheme="minorHAnsi"/>
                <w:b/>
                <w:color w:val="000000"/>
                <w:sz w:val="22"/>
                <w:szCs w:val="22"/>
              </w:rPr>
              <w:t>5</w:t>
            </w:r>
          </w:p>
        </w:tc>
      </w:tr>
      <w:tr w:rsidR="00BD36E4" w:rsidRPr="00C73BC5" w14:paraId="2F2231A8" w14:textId="77777777" w:rsidTr="003E6544">
        <w:tc>
          <w:tcPr>
            <w:tcW w:w="414" w:type="pct"/>
            <w:shd w:val="clear" w:color="auto" w:fill="auto"/>
            <w:tcMar>
              <w:top w:w="0" w:type="dxa"/>
              <w:left w:w="108" w:type="dxa"/>
              <w:bottom w:w="0" w:type="dxa"/>
              <w:right w:w="108" w:type="dxa"/>
            </w:tcMar>
          </w:tcPr>
          <w:p w14:paraId="200B7024" w14:textId="77777777" w:rsidR="00BD36E4" w:rsidRPr="00484063" w:rsidRDefault="00BD36E4" w:rsidP="003E6544">
            <w:pPr>
              <w:spacing w:beforeLines="20" w:before="48" w:afterLines="20" w:after="48"/>
              <w:rPr>
                <w:rFonts w:asciiTheme="minorHAnsi" w:hAnsiTheme="minorHAnsi"/>
                <w:color w:val="000000"/>
                <w:sz w:val="22"/>
                <w:szCs w:val="22"/>
              </w:rPr>
            </w:pPr>
            <w:r w:rsidRPr="00484063">
              <w:rPr>
                <w:sz w:val="22"/>
                <w:szCs w:val="22"/>
              </w:rPr>
              <w:t>TSP1</w:t>
            </w:r>
          </w:p>
        </w:tc>
        <w:tc>
          <w:tcPr>
            <w:tcW w:w="1354" w:type="pct"/>
            <w:shd w:val="clear" w:color="auto" w:fill="auto"/>
            <w:tcMar>
              <w:top w:w="0" w:type="dxa"/>
              <w:left w:w="108" w:type="dxa"/>
              <w:bottom w:w="0" w:type="dxa"/>
              <w:right w:w="108" w:type="dxa"/>
            </w:tcMar>
          </w:tcPr>
          <w:p w14:paraId="71D9C9D3" w14:textId="4901D2E5" w:rsidR="00BD36E4" w:rsidRPr="00FE1557" w:rsidRDefault="00BD36E4" w:rsidP="003E6544">
            <w:pPr>
              <w:spacing w:beforeLines="20" w:before="48" w:afterLines="20" w:after="48"/>
              <w:rPr>
                <w:rFonts w:asciiTheme="minorHAnsi" w:hAnsiTheme="minorHAnsi"/>
                <w:color w:val="000000"/>
                <w:sz w:val="22"/>
                <w:szCs w:val="22"/>
                <w:highlight w:val="yellow"/>
              </w:rPr>
            </w:pPr>
            <w:r w:rsidRPr="00002E31">
              <w:rPr>
                <w:rFonts w:asciiTheme="minorHAnsi" w:hAnsiTheme="minorHAnsi"/>
                <w:color w:val="000000"/>
                <w:sz w:val="22"/>
                <w:szCs w:val="22"/>
              </w:rPr>
              <w:t>Long</w:t>
            </w:r>
            <w:r w:rsidR="00002E31" w:rsidRPr="00002E31">
              <w:rPr>
                <w:rFonts w:asciiTheme="minorHAnsi" w:hAnsiTheme="minorHAnsi"/>
                <w:color w:val="000000"/>
                <w:sz w:val="22"/>
                <w:szCs w:val="22"/>
              </w:rPr>
              <w:t xml:space="preserve"> </w:t>
            </w:r>
            <w:r w:rsidR="00002E31">
              <w:rPr>
                <w:rFonts w:asciiTheme="minorHAnsi" w:hAnsiTheme="minorHAnsi"/>
                <w:color w:val="000000"/>
                <w:sz w:val="22"/>
                <w:szCs w:val="22"/>
              </w:rPr>
              <w:t xml:space="preserve">Copse </w:t>
            </w:r>
            <w:r w:rsidRPr="00002E31">
              <w:rPr>
                <w:rFonts w:asciiTheme="minorHAnsi" w:hAnsiTheme="minorHAnsi"/>
                <w:color w:val="000000"/>
                <w:sz w:val="22"/>
                <w:szCs w:val="22"/>
              </w:rPr>
              <w:t xml:space="preserve">Farm, </w:t>
            </w:r>
            <w:r w:rsidRPr="00F33846">
              <w:rPr>
                <w:rFonts w:asciiTheme="minorHAnsi" w:hAnsiTheme="minorHAnsi"/>
                <w:color w:val="000000"/>
                <w:sz w:val="22"/>
                <w:szCs w:val="22"/>
              </w:rPr>
              <w:t>Enborne</w:t>
            </w:r>
          </w:p>
        </w:tc>
        <w:tc>
          <w:tcPr>
            <w:tcW w:w="396" w:type="pct"/>
            <w:tcMar>
              <w:top w:w="0" w:type="dxa"/>
              <w:left w:w="108" w:type="dxa"/>
              <w:bottom w:w="0" w:type="dxa"/>
              <w:right w:w="108" w:type="dxa"/>
            </w:tcMar>
          </w:tcPr>
          <w:p w14:paraId="4B209F0F" w14:textId="77777777" w:rsidR="00BD36E4" w:rsidRPr="00484063" w:rsidRDefault="00BD36E4"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RG20 0LD</w:t>
            </w:r>
          </w:p>
        </w:tc>
        <w:tc>
          <w:tcPr>
            <w:tcW w:w="890" w:type="pct"/>
            <w:tcMar>
              <w:top w:w="0" w:type="dxa"/>
              <w:left w:w="108" w:type="dxa"/>
              <w:bottom w:w="0" w:type="dxa"/>
              <w:right w:w="108" w:type="dxa"/>
            </w:tcMar>
          </w:tcPr>
          <w:p w14:paraId="3D82E295" w14:textId="77777777" w:rsidR="00BD36E4" w:rsidRPr="00484063" w:rsidRDefault="00BD36E4" w:rsidP="003E6544">
            <w:pPr>
              <w:spacing w:beforeLines="20" w:before="48" w:afterLines="20" w:after="48"/>
              <w:jc w:val="center"/>
              <w:rPr>
                <w:rFonts w:asciiTheme="minorHAnsi" w:hAnsiTheme="minorHAnsi"/>
                <w:color w:val="000000"/>
                <w:sz w:val="22"/>
                <w:szCs w:val="22"/>
              </w:rPr>
            </w:pPr>
            <w:r w:rsidRPr="00484063">
              <w:rPr>
                <w:rFonts w:asciiTheme="minorHAnsi" w:hAnsiTheme="minorHAnsi"/>
                <w:color w:val="000000"/>
                <w:sz w:val="22"/>
                <w:szCs w:val="22"/>
              </w:rPr>
              <w:t>Permanent Authorised</w:t>
            </w:r>
          </w:p>
        </w:tc>
        <w:tc>
          <w:tcPr>
            <w:tcW w:w="592" w:type="pct"/>
            <w:tcMar>
              <w:left w:w="108" w:type="dxa"/>
              <w:right w:w="108" w:type="dxa"/>
            </w:tcMar>
            <w:vAlign w:val="center"/>
          </w:tcPr>
          <w:p w14:paraId="613B49B1" w14:textId="77777777" w:rsidR="00BD36E4" w:rsidRPr="00C73BC5" w:rsidRDefault="00BD36E4"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Private</w:t>
            </w:r>
          </w:p>
        </w:tc>
        <w:tc>
          <w:tcPr>
            <w:tcW w:w="396" w:type="pct"/>
            <w:tcMar>
              <w:left w:w="108" w:type="dxa"/>
              <w:right w:w="108" w:type="dxa"/>
            </w:tcMar>
            <w:vAlign w:val="center"/>
          </w:tcPr>
          <w:p w14:paraId="3A86E3CB" w14:textId="4EAF34C6" w:rsidR="00BD36E4"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0</w:t>
            </w:r>
          </w:p>
        </w:tc>
        <w:tc>
          <w:tcPr>
            <w:tcW w:w="494" w:type="pct"/>
            <w:tcMar>
              <w:left w:w="108" w:type="dxa"/>
              <w:right w:w="108" w:type="dxa"/>
            </w:tcMar>
            <w:vAlign w:val="center"/>
          </w:tcPr>
          <w:p w14:paraId="63DDAA13" w14:textId="32887FF3" w:rsidR="00BD36E4"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0</w:t>
            </w:r>
          </w:p>
        </w:tc>
        <w:tc>
          <w:tcPr>
            <w:tcW w:w="464" w:type="pct"/>
            <w:tcMar>
              <w:top w:w="0" w:type="dxa"/>
              <w:left w:w="108" w:type="dxa"/>
              <w:bottom w:w="0" w:type="dxa"/>
              <w:right w:w="108" w:type="dxa"/>
            </w:tcMar>
            <w:vAlign w:val="center"/>
          </w:tcPr>
          <w:p w14:paraId="49D2981B" w14:textId="39A155F5" w:rsidR="00BD36E4" w:rsidRPr="00C73BC5" w:rsidRDefault="0051006C" w:rsidP="003E6544">
            <w:pPr>
              <w:spacing w:beforeLines="20" w:before="48" w:afterLines="20" w:after="48"/>
              <w:jc w:val="center"/>
              <w:rPr>
                <w:rFonts w:asciiTheme="minorHAnsi" w:hAnsiTheme="minorHAnsi"/>
                <w:color w:val="000000"/>
                <w:sz w:val="22"/>
                <w:szCs w:val="22"/>
              </w:rPr>
            </w:pPr>
            <w:r>
              <w:rPr>
                <w:rFonts w:asciiTheme="minorHAnsi" w:hAnsiTheme="minorHAnsi"/>
                <w:color w:val="000000"/>
                <w:sz w:val="22"/>
                <w:szCs w:val="22"/>
              </w:rPr>
              <w:t>0</w:t>
            </w:r>
          </w:p>
        </w:tc>
      </w:tr>
      <w:tr w:rsidR="00BD36E4" w:rsidRPr="0064690C" w14:paraId="4D41C934" w14:textId="77777777" w:rsidTr="003E6544">
        <w:tc>
          <w:tcPr>
            <w:tcW w:w="3646" w:type="pct"/>
            <w:gridSpan w:val="5"/>
            <w:shd w:val="clear" w:color="auto" w:fill="auto"/>
            <w:tcMar>
              <w:top w:w="0" w:type="dxa"/>
              <w:left w:w="108" w:type="dxa"/>
              <w:bottom w:w="0" w:type="dxa"/>
              <w:right w:w="108" w:type="dxa"/>
            </w:tcMar>
          </w:tcPr>
          <w:p w14:paraId="46ECB0C8" w14:textId="44F10BEB" w:rsidR="00BD36E4" w:rsidRPr="00C73BC5" w:rsidRDefault="00BD36E4" w:rsidP="003E6544">
            <w:pPr>
              <w:spacing w:beforeLines="20" w:before="48" w:afterLines="20" w:after="48"/>
              <w:rPr>
                <w:rFonts w:asciiTheme="minorHAnsi" w:hAnsiTheme="minorHAnsi"/>
                <w:b/>
                <w:sz w:val="22"/>
                <w:szCs w:val="22"/>
              </w:rPr>
            </w:pPr>
            <w:r>
              <w:rPr>
                <w:rFonts w:asciiTheme="minorHAnsi" w:hAnsiTheme="minorHAnsi"/>
                <w:b/>
                <w:sz w:val="22"/>
                <w:szCs w:val="22"/>
              </w:rPr>
              <w:t>West Berkshire</w:t>
            </w:r>
            <w:r w:rsidRPr="00C73BC5">
              <w:rPr>
                <w:rFonts w:asciiTheme="minorHAnsi" w:hAnsiTheme="minorHAnsi"/>
                <w:b/>
                <w:sz w:val="22"/>
                <w:szCs w:val="22"/>
              </w:rPr>
              <w:t xml:space="preserve"> District Total</w:t>
            </w:r>
            <w:r>
              <w:rPr>
                <w:rFonts w:asciiTheme="minorHAnsi" w:hAnsiTheme="minorHAnsi"/>
                <w:b/>
                <w:sz w:val="22"/>
                <w:szCs w:val="22"/>
              </w:rPr>
              <w:t xml:space="preserve"> Travelling Showperson Plots</w:t>
            </w:r>
          </w:p>
        </w:tc>
        <w:tc>
          <w:tcPr>
            <w:tcW w:w="396" w:type="pct"/>
            <w:tcMar>
              <w:left w:w="108" w:type="dxa"/>
              <w:right w:w="108" w:type="dxa"/>
            </w:tcMar>
            <w:vAlign w:val="center"/>
          </w:tcPr>
          <w:p w14:paraId="0146D35C" w14:textId="2452A9B0" w:rsidR="00BD36E4" w:rsidRPr="00C73BC5" w:rsidRDefault="003E6544" w:rsidP="003E6544">
            <w:pPr>
              <w:spacing w:beforeLines="20" w:before="48" w:afterLines="20" w:after="48"/>
              <w:jc w:val="center"/>
              <w:rPr>
                <w:rFonts w:asciiTheme="minorHAnsi" w:hAnsiTheme="minorHAnsi"/>
                <w:b/>
                <w:sz w:val="22"/>
                <w:szCs w:val="22"/>
              </w:rPr>
            </w:pPr>
            <w:r>
              <w:rPr>
                <w:rFonts w:asciiTheme="minorHAnsi" w:hAnsiTheme="minorHAnsi"/>
                <w:b/>
                <w:sz w:val="22"/>
                <w:szCs w:val="22"/>
              </w:rPr>
              <w:t>0</w:t>
            </w:r>
          </w:p>
        </w:tc>
        <w:tc>
          <w:tcPr>
            <w:tcW w:w="494" w:type="pct"/>
            <w:tcMar>
              <w:left w:w="108" w:type="dxa"/>
              <w:right w:w="108" w:type="dxa"/>
            </w:tcMar>
            <w:vAlign w:val="center"/>
          </w:tcPr>
          <w:p w14:paraId="152716B7" w14:textId="12449963" w:rsidR="00BD36E4" w:rsidRPr="00C73BC5" w:rsidRDefault="003E6544" w:rsidP="003E6544">
            <w:pPr>
              <w:spacing w:beforeLines="20" w:before="48" w:afterLines="20" w:after="48"/>
              <w:jc w:val="center"/>
              <w:rPr>
                <w:rFonts w:asciiTheme="minorHAnsi" w:hAnsiTheme="minorHAnsi"/>
                <w:b/>
                <w:sz w:val="22"/>
                <w:szCs w:val="22"/>
              </w:rPr>
            </w:pPr>
            <w:r>
              <w:rPr>
                <w:rFonts w:asciiTheme="minorHAnsi" w:hAnsiTheme="minorHAnsi"/>
                <w:b/>
                <w:sz w:val="22"/>
                <w:szCs w:val="22"/>
              </w:rPr>
              <w:t>0</w:t>
            </w:r>
          </w:p>
        </w:tc>
        <w:tc>
          <w:tcPr>
            <w:tcW w:w="464" w:type="pct"/>
            <w:tcMar>
              <w:top w:w="0" w:type="dxa"/>
              <w:left w:w="108" w:type="dxa"/>
              <w:bottom w:w="0" w:type="dxa"/>
              <w:right w:w="108" w:type="dxa"/>
            </w:tcMar>
            <w:vAlign w:val="center"/>
          </w:tcPr>
          <w:p w14:paraId="179F16FE" w14:textId="6CBD1346" w:rsidR="00BD36E4" w:rsidRPr="00C73BC5" w:rsidRDefault="003E6544" w:rsidP="003E6544">
            <w:pPr>
              <w:spacing w:beforeLines="20" w:before="48" w:afterLines="20" w:after="48"/>
              <w:jc w:val="center"/>
              <w:rPr>
                <w:rFonts w:asciiTheme="minorHAnsi" w:hAnsiTheme="minorHAnsi"/>
                <w:b/>
                <w:sz w:val="22"/>
                <w:szCs w:val="22"/>
              </w:rPr>
            </w:pPr>
            <w:r>
              <w:rPr>
                <w:rFonts w:asciiTheme="minorHAnsi" w:hAnsiTheme="minorHAnsi"/>
                <w:b/>
                <w:sz w:val="22"/>
                <w:szCs w:val="22"/>
              </w:rPr>
              <w:t>0</w:t>
            </w:r>
          </w:p>
        </w:tc>
      </w:tr>
    </w:tbl>
    <w:p w14:paraId="62AF73A5" w14:textId="3ED6B422" w:rsidR="0051006C" w:rsidRPr="00A146AE" w:rsidRDefault="0051006C" w:rsidP="00BB1B41">
      <w:pPr>
        <w:rPr>
          <w:color w:val="000000" w:themeColor="text1"/>
        </w:rPr>
      </w:pPr>
      <w:r w:rsidRPr="00A146AE">
        <w:rPr>
          <w:color w:val="000000" w:themeColor="text1"/>
        </w:rPr>
        <w:t>Notes</w:t>
      </w:r>
    </w:p>
    <w:p w14:paraId="4DC9579D" w14:textId="23BCC5C0" w:rsidR="0051006C" w:rsidRPr="00A146AE" w:rsidRDefault="0051006C" w:rsidP="00BB1B41">
      <w:pPr>
        <w:rPr>
          <w:color w:val="000000" w:themeColor="text1"/>
        </w:rPr>
      </w:pPr>
      <w:r w:rsidRPr="00A146AE">
        <w:rPr>
          <w:color w:val="000000" w:themeColor="text1"/>
        </w:rPr>
        <w:t>*The site originally had 16 pitches but only 7 are currently occupied</w:t>
      </w:r>
    </w:p>
    <w:p w14:paraId="4D230595" w14:textId="71744864" w:rsidR="00131223" w:rsidRDefault="007525B2" w:rsidP="00BB1B41">
      <w:pPr>
        <w:rPr>
          <w:color w:val="000000" w:themeColor="text1"/>
          <w:sz w:val="20"/>
          <w:szCs w:val="20"/>
        </w:rPr>
      </w:pPr>
      <w:r w:rsidRPr="006F7FD2">
        <w:rPr>
          <w:color w:val="000000" w:themeColor="text1"/>
          <w:sz w:val="20"/>
          <w:szCs w:val="20"/>
        </w:rPr>
        <w:t xml:space="preserve">Source: </w:t>
      </w:r>
      <w:r w:rsidR="00EE6DA0">
        <w:rPr>
          <w:color w:val="000000" w:themeColor="text1"/>
          <w:sz w:val="20"/>
          <w:szCs w:val="20"/>
        </w:rPr>
        <w:t>West Berkshire</w:t>
      </w:r>
      <w:r w:rsidR="009C1C62">
        <w:rPr>
          <w:color w:val="000000" w:themeColor="text1"/>
          <w:sz w:val="20"/>
          <w:szCs w:val="20"/>
        </w:rPr>
        <w:t xml:space="preserve"> Council</w:t>
      </w:r>
      <w:r w:rsidR="00486F79">
        <w:rPr>
          <w:color w:val="000000" w:themeColor="text1"/>
          <w:sz w:val="20"/>
          <w:szCs w:val="20"/>
        </w:rPr>
        <w:t xml:space="preserve"> data 2018</w:t>
      </w:r>
      <w:r w:rsidRPr="006F7FD2">
        <w:rPr>
          <w:color w:val="000000" w:themeColor="text1"/>
          <w:sz w:val="20"/>
          <w:szCs w:val="20"/>
        </w:rPr>
        <w:t>, s</w:t>
      </w:r>
      <w:r w:rsidR="00486F79">
        <w:rPr>
          <w:color w:val="000000" w:themeColor="text1"/>
          <w:sz w:val="20"/>
          <w:szCs w:val="20"/>
        </w:rPr>
        <w:t>ite survey fieldwork 2018</w:t>
      </w:r>
    </w:p>
    <w:p w14:paraId="479C5733" w14:textId="7C12D3A2" w:rsidR="001402E2" w:rsidRDefault="001A5097" w:rsidP="00C73BC5">
      <w:pPr>
        <w:pStyle w:val="mapheading"/>
      </w:pPr>
      <w:r>
        <w:rPr>
          <w:color w:val="000000" w:themeColor="text1"/>
          <w:sz w:val="20"/>
          <w:szCs w:val="20"/>
        </w:rPr>
        <w:br w:type="page"/>
      </w:r>
      <w:bookmarkStart w:id="176" w:name="_Toc459646278"/>
      <w:bookmarkStart w:id="177" w:name="_Toc485383302"/>
      <w:bookmarkStart w:id="178" w:name="_Toc510092023"/>
      <w:bookmarkStart w:id="179" w:name="_Toc13845520"/>
      <w:r w:rsidRPr="00031AAE">
        <w:t>Map 4.1</w:t>
      </w:r>
      <w:r w:rsidRPr="00031AAE">
        <w:tab/>
        <w:t xml:space="preserve">Location of sites </w:t>
      </w:r>
      <w:r w:rsidR="00BD36E4">
        <w:t xml:space="preserve">and yards </w:t>
      </w:r>
      <w:r w:rsidRPr="00031AAE">
        <w:t xml:space="preserve">in </w:t>
      </w:r>
      <w:bookmarkEnd w:id="176"/>
      <w:bookmarkEnd w:id="177"/>
      <w:r w:rsidR="00EE6DA0">
        <w:t>West Berkshire</w:t>
      </w:r>
      <w:bookmarkEnd w:id="178"/>
      <w:r w:rsidR="00655163">
        <w:t xml:space="preserve"> District</w:t>
      </w:r>
      <w:bookmarkEnd w:id="179"/>
    </w:p>
    <w:p w14:paraId="4629FD1F" w14:textId="326FB150" w:rsidR="00DF2FB0" w:rsidRPr="00DF2FB0" w:rsidRDefault="00903573" w:rsidP="009951A9">
      <w:pPr>
        <w:jc w:val="center"/>
        <w:rPr>
          <w:color w:val="009999"/>
          <w:sz w:val="22"/>
        </w:rPr>
      </w:pPr>
      <w:r>
        <w:rPr>
          <w:noProof/>
          <w:lang w:eastAsia="en-GB"/>
        </w:rPr>
        <w:drawing>
          <wp:inline distT="0" distB="0" distL="0" distR="0" wp14:anchorId="028001D3" wp14:editId="16054052">
            <wp:extent cx="7589520" cy="536983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91355" cy="5371135"/>
                    </a:xfrm>
                    <a:prstGeom prst="rect">
                      <a:avLst/>
                    </a:prstGeom>
                    <a:noFill/>
                    <a:ln>
                      <a:noFill/>
                    </a:ln>
                  </pic:spPr>
                </pic:pic>
              </a:graphicData>
            </a:graphic>
          </wp:inline>
        </w:drawing>
      </w:r>
      <w:r w:rsidR="001402E2">
        <w:br w:type="page"/>
      </w:r>
    </w:p>
    <w:p w14:paraId="77721FC7" w14:textId="77777777" w:rsidR="003E42B1" w:rsidRPr="001A5097" w:rsidRDefault="003E42B1" w:rsidP="003E42B1">
      <w:pPr>
        <w:pStyle w:val="mapheading"/>
        <w:sectPr w:rsidR="003E42B1" w:rsidRPr="001A5097" w:rsidSect="00787125">
          <w:headerReference w:type="default" r:id="rId22"/>
          <w:footerReference w:type="default" r:id="rId23"/>
          <w:footerReference w:type="first" r:id="rId24"/>
          <w:pgSz w:w="16838" w:h="11906" w:orient="landscape"/>
          <w:pgMar w:top="1440" w:right="1276" w:bottom="1440" w:left="1440" w:header="709" w:footer="709" w:gutter="0"/>
          <w:pgBorders w:offsetFrom="page">
            <w:top w:val="none" w:sz="0" w:space="0" w:color="000000"/>
            <w:left w:val="none" w:sz="0" w:space="0" w:color="000000"/>
            <w:bottom w:val="none" w:sz="0" w:space="0" w:color="000000"/>
            <w:right w:val="none" w:sz="0" w:space="0" w:color="000000"/>
          </w:pgBorders>
          <w:cols w:space="720"/>
          <w:docGrid w:linePitch="326"/>
        </w:sectPr>
      </w:pPr>
    </w:p>
    <w:p w14:paraId="284005D8" w14:textId="77777777" w:rsidR="00F07FBC" w:rsidRPr="00521AA2" w:rsidRDefault="00F07FBC" w:rsidP="00F07FBC">
      <w:pPr>
        <w:pStyle w:val="Heading1"/>
      </w:pPr>
      <w:bookmarkStart w:id="180" w:name="_Toc485383238"/>
      <w:bookmarkStart w:id="181" w:name="_Toc3824258"/>
      <w:bookmarkStart w:id="182" w:name="_Toc13845477"/>
      <w:bookmarkStart w:id="183" w:name="_Toc477256942"/>
      <w:bookmarkStart w:id="184" w:name="_Toc485383244"/>
      <w:bookmarkStart w:id="185" w:name="_Toc510091967"/>
      <w:bookmarkStart w:id="186" w:name="_Toc516229335"/>
      <w:bookmarkStart w:id="187" w:name="_Toc417995963"/>
      <w:bookmarkStart w:id="188" w:name="_Toc375313625"/>
      <w:bookmarkStart w:id="189" w:name="_Toc459646237"/>
      <w:bookmarkStart w:id="190" w:name="_Toc477256948"/>
      <w:bookmarkStart w:id="191" w:name="_Toc485383251"/>
      <w:bookmarkStart w:id="192" w:name="_Toc510091973"/>
      <w:r w:rsidRPr="00521AA2">
        <w:t>Household survey findings</w:t>
      </w:r>
      <w:bookmarkEnd w:id="180"/>
      <w:bookmarkEnd w:id="181"/>
      <w:bookmarkEnd w:id="182"/>
    </w:p>
    <w:p w14:paraId="3B2CF261" w14:textId="23A68D18" w:rsidR="00F07FBC" w:rsidRPr="00D36795" w:rsidRDefault="00F07FBC" w:rsidP="00F07FBC">
      <w:pPr>
        <w:pStyle w:val="Reporttext"/>
      </w:pPr>
      <w:r w:rsidRPr="00D36795">
        <w:t xml:space="preserve">This chapter presents the findings of the household survey, which was carried out to provide primary data to inform this GTAA. The survey aimed to reach as many Gypsy, Traveller and Travelling Showpeople living in the </w:t>
      </w:r>
      <w:r>
        <w:t>district</w:t>
      </w:r>
      <w:r w:rsidRPr="00D36795">
        <w:t xml:space="preserve"> as possible. It was conducted using the questionnaire set out in Appendix C. </w:t>
      </w:r>
    </w:p>
    <w:p w14:paraId="465B54F2" w14:textId="77777777" w:rsidR="00F07FBC" w:rsidRDefault="00F07FBC" w:rsidP="00F07FBC">
      <w:pPr>
        <w:pStyle w:val="Reporttext"/>
        <w:numPr>
          <w:ilvl w:val="0"/>
          <w:numId w:val="0"/>
        </w:numPr>
        <w:ind w:left="709"/>
        <w:rPr>
          <w:highlight w:val="yellow"/>
        </w:rPr>
      </w:pPr>
    </w:p>
    <w:p w14:paraId="38D69C5C" w14:textId="0A36F871" w:rsidR="00F07FBC" w:rsidRPr="007E55CE" w:rsidRDefault="00F07FBC" w:rsidP="00F07FBC">
      <w:pPr>
        <w:pStyle w:val="Heading2"/>
        <w:rPr>
          <w:color w:val="FF0000"/>
        </w:rPr>
      </w:pPr>
      <w:bookmarkStart w:id="193" w:name="_Toc3824259"/>
      <w:bookmarkStart w:id="194" w:name="_Toc13845478"/>
      <w:r>
        <w:t xml:space="preserve">Gypsy and Traveller households living in </w:t>
      </w:r>
      <w:bookmarkEnd w:id="193"/>
      <w:r>
        <w:t>West Berkshire</w:t>
      </w:r>
      <w:bookmarkEnd w:id="194"/>
    </w:p>
    <w:p w14:paraId="1C394419" w14:textId="73C0EE17" w:rsidR="00F07FBC" w:rsidRPr="00F07FBC" w:rsidRDefault="00F07FBC" w:rsidP="00F07FBC">
      <w:pPr>
        <w:pStyle w:val="Reporttext"/>
        <w:rPr>
          <w:color w:val="000000" w:themeColor="text1"/>
        </w:rPr>
      </w:pPr>
      <w:r>
        <w:t>The analysis is based on 21 household surveys and where possible supplementary information obtained from local knowledge and planning application/statement data. The total number of households for which information was available was 29 but for some the information (particular data based on local knowledge and planning application/statement data) is less detailed.</w:t>
      </w:r>
    </w:p>
    <w:p w14:paraId="4B7ADBAB" w14:textId="2F66551F" w:rsidR="00F07FBC" w:rsidRPr="005E7656" w:rsidRDefault="00F07FBC" w:rsidP="00F07FBC">
      <w:pPr>
        <w:pStyle w:val="Reporttext"/>
        <w:rPr>
          <w:color w:val="000000" w:themeColor="text1"/>
        </w:rPr>
      </w:pPr>
      <w:r>
        <w:rPr>
          <w:color w:val="000000" w:themeColor="text1"/>
        </w:rPr>
        <w:t>Of the 29 households:</w:t>
      </w:r>
    </w:p>
    <w:p w14:paraId="5BF64248" w14:textId="5FA976C2" w:rsidR="00F07FBC" w:rsidRDefault="00F07FBC" w:rsidP="00F07FBC">
      <w:pPr>
        <w:pStyle w:val="bullet"/>
        <w:rPr>
          <w:color w:val="000000" w:themeColor="text1"/>
        </w:rPr>
      </w:pPr>
      <w:r>
        <w:rPr>
          <w:color w:val="000000" w:themeColor="text1"/>
        </w:rPr>
        <w:t>7</w:t>
      </w:r>
      <w:r w:rsidRPr="005E7656">
        <w:rPr>
          <w:color w:val="000000" w:themeColor="text1"/>
        </w:rPr>
        <w:t xml:space="preserve"> were Gypsies and Traveller households living on the Council site;</w:t>
      </w:r>
    </w:p>
    <w:p w14:paraId="033DDBEE" w14:textId="09DC3EB8" w:rsidR="00F07FBC" w:rsidRDefault="00F07FBC" w:rsidP="00F07FBC">
      <w:pPr>
        <w:pStyle w:val="bullet"/>
        <w:rPr>
          <w:color w:val="000000" w:themeColor="text1"/>
        </w:rPr>
      </w:pPr>
      <w:r>
        <w:rPr>
          <w:color w:val="000000" w:themeColor="text1"/>
        </w:rPr>
        <w:t>14 were Gypsies and Traveller households living on private authorised sites;</w:t>
      </w:r>
    </w:p>
    <w:p w14:paraId="615ED576" w14:textId="732A7C33" w:rsidR="00F07FBC" w:rsidRDefault="00F07FBC" w:rsidP="00F07FBC">
      <w:pPr>
        <w:pStyle w:val="bullet"/>
        <w:rPr>
          <w:color w:val="000000" w:themeColor="text1"/>
        </w:rPr>
      </w:pPr>
      <w:r>
        <w:rPr>
          <w:color w:val="000000" w:themeColor="text1"/>
        </w:rPr>
        <w:t>4 were Gypsy and Traveller households living on unauthorised sites;</w:t>
      </w:r>
    </w:p>
    <w:p w14:paraId="3FEB9B13" w14:textId="01F3433B" w:rsidR="00F07FBC" w:rsidRPr="005E7656" w:rsidRDefault="00F07FBC" w:rsidP="00F07FBC">
      <w:pPr>
        <w:pStyle w:val="bullet"/>
        <w:rPr>
          <w:color w:val="000000" w:themeColor="text1"/>
        </w:rPr>
      </w:pPr>
      <w:r>
        <w:rPr>
          <w:color w:val="000000" w:themeColor="text1"/>
        </w:rPr>
        <w:t xml:space="preserve">4 were Gypsy and Traveller households who were living in bricks and mortar having been decanted from the Council site but planned to return to the site once it was refurbished. </w:t>
      </w:r>
    </w:p>
    <w:p w14:paraId="5693A905" w14:textId="77777777" w:rsidR="00F07FBC" w:rsidRDefault="00F07FBC" w:rsidP="00F07FBC">
      <w:pPr>
        <w:pStyle w:val="Reporttext"/>
        <w:rPr>
          <w:color w:val="000000" w:themeColor="text1"/>
        </w:rPr>
      </w:pPr>
      <w:r w:rsidRPr="005E7656">
        <w:rPr>
          <w:color w:val="000000" w:themeColor="text1"/>
        </w:rPr>
        <w:t xml:space="preserve">Household information was therefore achieved for </w:t>
      </w:r>
      <w:r>
        <w:rPr>
          <w:color w:val="000000" w:themeColor="text1"/>
        </w:rPr>
        <w:t>25</w:t>
      </w:r>
      <w:r w:rsidRPr="005E7656">
        <w:rPr>
          <w:color w:val="000000" w:themeColor="text1"/>
        </w:rPr>
        <w:t xml:space="preserve"> households living on sites</w:t>
      </w:r>
      <w:r>
        <w:rPr>
          <w:color w:val="000000" w:themeColor="text1"/>
        </w:rPr>
        <w:t xml:space="preserve"> (out of a possible total of 36 households) and the survey results were weighted for the purposes of housing needs analysis. However, the data presented in this chapter has not been weighted as it is based on the proportion of respondents responding to particular questions and these proportions would not be affected by weighting.</w:t>
      </w:r>
    </w:p>
    <w:p w14:paraId="4542E73E" w14:textId="77777777" w:rsidR="00F07FBC" w:rsidRDefault="00F07FBC" w:rsidP="00F07FBC">
      <w:pPr>
        <w:pStyle w:val="Reporttext"/>
        <w:rPr>
          <w:color w:val="000000" w:themeColor="text1"/>
        </w:rPr>
      </w:pPr>
      <w:r w:rsidRPr="00883635">
        <w:t>It would not be appropriate to provide a detailed analysis of the survey information as this has the potential to identify individual responses. Broad summaries of the household survey data findings are presented below in order to maintain respondent confidentiality.</w:t>
      </w:r>
    </w:p>
    <w:p w14:paraId="1E98F4D8" w14:textId="77777777" w:rsidR="00F07FBC" w:rsidRDefault="00F07FBC" w:rsidP="00F07FBC">
      <w:pPr>
        <w:pStyle w:val="Reporttext"/>
        <w:rPr>
          <w:color w:val="000000" w:themeColor="text1"/>
        </w:rPr>
      </w:pPr>
      <w:r w:rsidRPr="00883635">
        <w:t>Of household representatives interviewed</w:t>
      </w:r>
      <w:r>
        <w:t xml:space="preserve"> (base=25 responses)</w:t>
      </w:r>
      <w:r w:rsidRPr="00883635">
        <w:t xml:space="preserve">, </w:t>
      </w:r>
      <w:r>
        <w:t>48</w:t>
      </w:r>
      <w:r w:rsidRPr="00883635">
        <w:t xml:space="preserve">% </w:t>
      </w:r>
      <w:r>
        <w:t xml:space="preserve">described themselves </w:t>
      </w:r>
      <w:r w:rsidRPr="00883635">
        <w:t xml:space="preserve">as English Traveller </w:t>
      </w:r>
      <w:r>
        <w:t>28</w:t>
      </w:r>
      <w:r w:rsidRPr="00883635">
        <w:t>% as Irish Traveller</w:t>
      </w:r>
      <w:r>
        <w:t xml:space="preserve">  and 24</w:t>
      </w:r>
      <w:r w:rsidRPr="00883635">
        <w:t>% as Gypsy (including Romany, Romany Gypsy and English Gypsy and English Romany).</w:t>
      </w:r>
      <w:bookmarkStart w:id="195" w:name="_Toc479262956"/>
      <w:bookmarkStart w:id="196" w:name="_Toc355453197"/>
      <w:bookmarkStart w:id="197" w:name="_Toc494973835"/>
      <w:bookmarkStart w:id="198" w:name="_Toc477256939"/>
    </w:p>
    <w:p w14:paraId="33B943B9" w14:textId="77777777" w:rsidR="00F07FBC" w:rsidRDefault="00F07FBC" w:rsidP="00F07FBC">
      <w:pPr>
        <w:pStyle w:val="Reporttext"/>
        <w:rPr>
          <w:color w:val="000000" w:themeColor="text1"/>
        </w:rPr>
      </w:pPr>
      <w:r>
        <w:t xml:space="preserve">Data from the household survey and supplementary information from housing management data provided an insight into household size, type and the age of residents living on pitches. </w:t>
      </w:r>
      <w:bookmarkEnd w:id="195"/>
      <w:bookmarkEnd w:id="196"/>
      <w:bookmarkEnd w:id="197"/>
      <w:bookmarkEnd w:id="198"/>
    </w:p>
    <w:p w14:paraId="06D3DDB0" w14:textId="77777777" w:rsidR="00F07FBC" w:rsidRDefault="00F07FBC" w:rsidP="00F07FBC">
      <w:pPr>
        <w:pStyle w:val="Reporttext"/>
        <w:rPr>
          <w:color w:val="000000" w:themeColor="text1"/>
        </w:rPr>
      </w:pPr>
      <w:r w:rsidRPr="003644B3">
        <w:t>There was significant variation in the size of households</w:t>
      </w:r>
      <w:r>
        <w:t xml:space="preserve"> (base = 29 responses)</w:t>
      </w:r>
      <w:r w:rsidRPr="003644B3">
        <w:t xml:space="preserve">. </w:t>
      </w:r>
      <w:r>
        <w:t>13.8</w:t>
      </w:r>
      <w:r w:rsidRPr="003644B3">
        <w:t xml:space="preserve">% of households were single person; </w:t>
      </w:r>
      <w:r>
        <w:t>20.7</w:t>
      </w:r>
      <w:r w:rsidRPr="003644B3">
        <w:t xml:space="preserve">% </w:t>
      </w:r>
      <w:r>
        <w:t>were</w:t>
      </w:r>
      <w:r w:rsidRPr="003644B3">
        <w:t xml:space="preserve"> two pe</w:t>
      </w:r>
      <w:r>
        <w:t>rson</w:t>
      </w:r>
      <w:r w:rsidRPr="003644B3">
        <w:t xml:space="preserve">; </w:t>
      </w:r>
      <w:r>
        <w:t>20.7</w:t>
      </w:r>
      <w:r w:rsidRPr="003644B3">
        <w:t>% were three pe</w:t>
      </w:r>
      <w:r>
        <w:t>rson</w:t>
      </w:r>
      <w:r w:rsidRPr="003644B3">
        <w:t xml:space="preserve">; </w:t>
      </w:r>
      <w:r>
        <w:t>13.8</w:t>
      </w:r>
      <w:r w:rsidRPr="003644B3">
        <w:t xml:space="preserve">% </w:t>
      </w:r>
      <w:r>
        <w:t xml:space="preserve">were </w:t>
      </w:r>
      <w:r w:rsidRPr="003644B3">
        <w:t>four pe</w:t>
      </w:r>
      <w:r>
        <w:t>rson</w:t>
      </w:r>
      <w:r w:rsidRPr="003644B3">
        <w:t xml:space="preserve">, </w:t>
      </w:r>
      <w:r>
        <w:t>20.7</w:t>
      </w:r>
      <w:r w:rsidRPr="003644B3">
        <w:t xml:space="preserve">% </w:t>
      </w:r>
      <w:r>
        <w:t xml:space="preserve">were </w:t>
      </w:r>
      <w:r w:rsidRPr="003644B3">
        <w:t>five pe</w:t>
      </w:r>
      <w:r>
        <w:t>rson</w:t>
      </w:r>
      <w:r w:rsidRPr="003644B3">
        <w:t xml:space="preserve"> and </w:t>
      </w:r>
      <w:r>
        <w:t>10.3</w:t>
      </w:r>
      <w:r w:rsidRPr="003644B3">
        <w:t xml:space="preserve">% </w:t>
      </w:r>
      <w:r>
        <w:t>were</w:t>
      </w:r>
      <w:r w:rsidRPr="003644B3">
        <w:t xml:space="preserve"> six or more pe</w:t>
      </w:r>
      <w:r>
        <w:t xml:space="preserve">rson households. </w:t>
      </w:r>
    </w:p>
    <w:p w14:paraId="324EF4E8" w14:textId="77777777" w:rsidR="00F07FBC" w:rsidRDefault="00F07FBC" w:rsidP="00F07FBC">
      <w:pPr>
        <w:pStyle w:val="Reporttext"/>
        <w:rPr>
          <w:color w:val="000000" w:themeColor="text1"/>
        </w:rPr>
      </w:pPr>
      <w:r w:rsidRPr="003644B3">
        <w:t>Regarding household type</w:t>
      </w:r>
      <w:r>
        <w:t xml:space="preserve"> (base = 29 responses)</w:t>
      </w:r>
      <w:r w:rsidRPr="003644B3">
        <w:t xml:space="preserve">, </w:t>
      </w:r>
      <w:r>
        <w:t>37.9</w:t>
      </w:r>
      <w:r w:rsidRPr="003644B3">
        <w:t xml:space="preserve">% were lone parents </w:t>
      </w:r>
      <w:r>
        <w:t>with 1-2 children,</w:t>
      </w:r>
      <w:r w:rsidRPr="00F07FBC">
        <w:t xml:space="preserve"> </w:t>
      </w:r>
      <w:r>
        <w:t>3.4% lone parents with 3+ children, 13.8</w:t>
      </w:r>
      <w:r w:rsidRPr="003644B3">
        <w:t xml:space="preserve">% singles, </w:t>
      </w:r>
      <w:r>
        <w:t>3.4</w:t>
      </w:r>
      <w:r w:rsidRPr="003644B3">
        <w:t xml:space="preserve">% couples, </w:t>
      </w:r>
      <w:r>
        <w:t>17.2</w:t>
      </w:r>
      <w:r w:rsidRPr="003644B3">
        <w:t xml:space="preserve">% couples with one or two children, </w:t>
      </w:r>
      <w:r>
        <w:t>3.4</w:t>
      </w:r>
      <w:r w:rsidRPr="003644B3">
        <w:t xml:space="preserve">% couples with 3 or more children, and </w:t>
      </w:r>
      <w:r>
        <w:t>20.7</w:t>
      </w:r>
      <w:r w:rsidRPr="003644B3">
        <w:t>% were other types of household</w:t>
      </w:r>
      <w:r>
        <w:t xml:space="preserve"> (which included multi-generational households or couples with adult children at home</w:t>
      </w:r>
      <w:r w:rsidRPr="00610869">
        <w:t xml:space="preserve">). </w:t>
      </w:r>
    </w:p>
    <w:p w14:paraId="34B9DA49" w14:textId="77777777" w:rsidR="00F07FBC" w:rsidRDefault="00F07FBC" w:rsidP="00F07FBC">
      <w:pPr>
        <w:pStyle w:val="Reporttext"/>
        <w:rPr>
          <w:color w:val="000000" w:themeColor="text1"/>
        </w:rPr>
      </w:pPr>
      <w:r w:rsidRPr="00610869">
        <w:t xml:space="preserve">Across </w:t>
      </w:r>
      <w:r>
        <w:t>West Berkshire</w:t>
      </w:r>
      <w:r w:rsidRPr="00610869">
        <w:t xml:space="preserve"> there are at least are</w:t>
      </w:r>
      <w:r>
        <w:t xml:space="preserve"> 97</w:t>
      </w:r>
      <w:r w:rsidRPr="00610869">
        <w:t xml:space="preserve"> people living across </w:t>
      </w:r>
      <w:r>
        <w:t>29 Gypsy and Traveller</w:t>
      </w:r>
      <w:r w:rsidRPr="00610869">
        <w:t xml:space="preserve"> households. There </w:t>
      </w:r>
      <w:r>
        <w:t>are</w:t>
      </w:r>
      <w:r w:rsidRPr="00610869">
        <w:t xml:space="preserve"> a total of </w:t>
      </w:r>
      <w:r>
        <w:t>48</w:t>
      </w:r>
      <w:r w:rsidRPr="00610869">
        <w:t xml:space="preserve"> children </w:t>
      </w:r>
      <w:r>
        <w:t xml:space="preserve">aged 16 or under living on </w:t>
      </w:r>
      <w:r w:rsidRPr="00610869">
        <w:t>pitches along with</w:t>
      </w:r>
      <w:r>
        <w:t xml:space="preserve"> 7 young adults aged 17 or over living with family and 42 adults</w:t>
      </w:r>
      <w:r w:rsidRPr="00610869">
        <w:t>.</w:t>
      </w:r>
    </w:p>
    <w:p w14:paraId="37AF0FE9" w14:textId="77777777" w:rsidR="00F07FBC" w:rsidRDefault="00F07FBC" w:rsidP="00F07FBC">
      <w:pPr>
        <w:pStyle w:val="Reporttext"/>
        <w:rPr>
          <w:color w:val="000000" w:themeColor="text1"/>
        </w:rPr>
      </w:pPr>
      <w:r w:rsidRPr="00610869">
        <w:t xml:space="preserve">The household survey/management information indicates that the Gypsy and Traveller population is </w:t>
      </w:r>
      <w:r>
        <w:t>very</w:t>
      </w:r>
      <w:r w:rsidRPr="00610869">
        <w:t xml:space="preserve"> youthful, with a large child and teenage contingent. Overall, 4</w:t>
      </w:r>
      <w:r>
        <w:t>4.3</w:t>
      </w:r>
      <w:r w:rsidRPr="00610869">
        <w:t xml:space="preserve">% of the Gypsy and Traveller population </w:t>
      </w:r>
      <w:r>
        <w:t xml:space="preserve">were aged 13 or under </w:t>
      </w:r>
      <w:r w:rsidRPr="00610869">
        <w:t xml:space="preserve">and </w:t>
      </w:r>
      <w:r>
        <w:t>7.2</w:t>
      </w:r>
      <w:r w:rsidRPr="00610869">
        <w:t>% were aged 14-17. In addition, 2</w:t>
      </w:r>
      <w:r>
        <w:t>3.7</w:t>
      </w:r>
      <w:r w:rsidRPr="00610869">
        <w:t xml:space="preserve">% were aged 18-34, </w:t>
      </w:r>
      <w:r>
        <w:t>15.5</w:t>
      </w:r>
      <w:r w:rsidRPr="00610869">
        <w:t>% aged 35-44, 7.</w:t>
      </w:r>
      <w:r>
        <w:t>2</w:t>
      </w:r>
      <w:r w:rsidRPr="00610869">
        <w:t xml:space="preserve">% aged 45-59 and </w:t>
      </w:r>
      <w:r>
        <w:t>2</w:t>
      </w:r>
      <w:r w:rsidRPr="00610869">
        <w:t xml:space="preserve">.1% aged 60 and over. </w:t>
      </w:r>
    </w:p>
    <w:p w14:paraId="5A28F241" w14:textId="0C87F53A" w:rsidR="00F07FBC" w:rsidRDefault="00F07FBC" w:rsidP="00F07FBC">
      <w:pPr>
        <w:pStyle w:val="Reporttext"/>
        <w:rPr>
          <w:color w:val="000000" w:themeColor="text1"/>
        </w:rPr>
      </w:pPr>
      <w:r w:rsidRPr="007E55CE">
        <w:t>In terms</w:t>
      </w:r>
      <w:r w:rsidRPr="00610869">
        <w:t xml:space="preserve"> of </w:t>
      </w:r>
      <w:r>
        <w:t>length</w:t>
      </w:r>
      <w:r w:rsidRPr="00610869">
        <w:t xml:space="preserve"> of residence</w:t>
      </w:r>
      <w:r>
        <w:t xml:space="preserve"> (base = 21 responses)</w:t>
      </w:r>
      <w:r w:rsidRPr="00610869">
        <w:t xml:space="preserve">, </w:t>
      </w:r>
      <w:r>
        <w:t>38</w:t>
      </w:r>
      <w:r w:rsidRPr="00610869">
        <w:t xml:space="preserve">.1% </w:t>
      </w:r>
      <w:r>
        <w:t xml:space="preserve">of respondents </w:t>
      </w:r>
      <w:r w:rsidR="00002E31" w:rsidRPr="00610869">
        <w:t>said up</w:t>
      </w:r>
      <w:r w:rsidRPr="00610869">
        <w:t xml:space="preserve"> to 5 years; </w:t>
      </w:r>
      <w:r>
        <w:t>47.6</w:t>
      </w:r>
      <w:r w:rsidRPr="00610869">
        <w:t xml:space="preserve">% stated between 5 and 10 years; </w:t>
      </w:r>
      <w:r>
        <w:t>and 14.3% more than 10 years.</w:t>
      </w:r>
      <w:r w:rsidRPr="00610869">
        <w:t xml:space="preserve"> Three households had moved into the </w:t>
      </w:r>
      <w:r w:rsidRPr="00002E31">
        <w:t>Borough</w:t>
      </w:r>
      <w:r w:rsidRPr="00610869">
        <w:t xml:space="preserve"> in the preceding five years, had moved from existing sites onto vacant pitches and mainly had family connections in the area. </w:t>
      </w:r>
    </w:p>
    <w:p w14:paraId="31DE2627" w14:textId="77777777" w:rsidR="00F07FBC" w:rsidRDefault="00F07FBC" w:rsidP="00F07FBC">
      <w:pPr>
        <w:pStyle w:val="Reporttext"/>
        <w:rPr>
          <w:color w:val="000000" w:themeColor="text1"/>
        </w:rPr>
      </w:pPr>
      <w:r>
        <w:t>Of particular note, on Paices Hill 8 out of 13 households had move to the site in the previous 5 years from outside the district and all had moved onto a vacant pitch. This would suggest an element of turnover on a large authorised site and should be considered in the GTAA needs modelling as a potential source of pitch supply. This represents 61.5% of pitches where interviews were carried out and would equate to an annual supply of 1.6 pitches (unweighted) and 2.3 (weighted).</w:t>
      </w:r>
    </w:p>
    <w:p w14:paraId="74E530A8" w14:textId="77777777" w:rsidR="00F07FBC" w:rsidRDefault="00F07FBC" w:rsidP="00F07FBC">
      <w:pPr>
        <w:pStyle w:val="Reporttext"/>
        <w:rPr>
          <w:color w:val="000000" w:themeColor="text1"/>
        </w:rPr>
      </w:pPr>
      <w:r w:rsidRPr="00610869">
        <w:t xml:space="preserve">When asked about overcrowding, </w:t>
      </w:r>
      <w:r>
        <w:t xml:space="preserve">none of the respondents (base = 29) said that their home nor their pitch </w:t>
      </w:r>
      <w:r w:rsidRPr="00610869">
        <w:t xml:space="preserve">was overcrowded. </w:t>
      </w:r>
    </w:p>
    <w:p w14:paraId="325B17D9" w14:textId="77777777" w:rsidR="00F07FBC" w:rsidRDefault="00F07FBC" w:rsidP="00F07FBC">
      <w:pPr>
        <w:pStyle w:val="Reporttext"/>
        <w:rPr>
          <w:color w:val="000000" w:themeColor="text1"/>
        </w:rPr>
      </w:pPr>
      <w:r w:rsidRPr="00610869">
        <w:t xml:space="preserve">Regarding travelling </w:t>
      </w:r>
      <w:r>
        <w:t>behaviour (base = 21 responses)</w:t>
      </w:r>
      <w:r w:rsidRPr="00610869">
        <w:t xml:space="preserve">, </w:t>
      </w:r>
      <w:r>
        <w:t>76.1</w:t>
      </w:r>
      <w:r w:rsidRPr="00610869">
        <w:t>% of respondents lived in a household where someone had travelled in the previous year</w:t>
      </w:r>
      <w:r>
        <w:t xml:space="preserve"> and also previous to the last year</w:t>
      </w:r>
      <w:r w:rsidRPr="00610869">
        <w:t xml:space="preserve">. </w:t>
      </w:r>
      <w:r>
        <w:t>76.1</w:t>
      </w:r>
      <w:r w:rsidRPr="00610869">
        <w:t xml:space="preserve">% stated someone in their household planned to </w:t>
      </w:r>
      <w:r>
        <w:t>travel</w:t>
      </w:r>
      <w:r w:rsidRPr="00610869">
        <w:t xml:space="preserve"> in the next year</w:t>
      </w:r>
      <w:r>
        <w:t>. Once planning application data had been considered (base = 25 respondents), the number of households that meet t</w:t>
      </w:r>
      <w:r w:rsidRPr="00610869">
        <w:t xml:space="preserve">he </w:t>
      </w:r>
      <w:r>
        <w:t xml:space="preserve">PPTS Traveller </w:t>
      </w:r>
      <w:r w:rsidRPr="00610869">
        <w:t xml:space="preserve">definition (either they or someone in their household had travelled or plans to travel in the next year and </w:t>
      </w:r>
      <w:r w:rsidRPr="007E55CE">
        <w:t>beyond)</w:t>
      </w:r>
      <w:r>
        <w:t xml:space="preserve"> reaches 88%</w:t>
      </w:r>
      <w:r w:rsidRPr="007E55CE">
        <w:t>. The main reasons for travell</w:t>
      </w:r>
      <w:r>
        <w:t>ing</w:t>
      </w:r>
      <w:r w:rsidRPr="007E55CE">
        <w:t xml:space="preserve"> were for work and visiting family/friends. Reasons for not travelling included being </w:t>
      </w:r>
      <w:r>
        <w:t>too much trouble and health reasons.</w:t>
      </w:r>
    </w:p>
    <w:p w14:paraId="2DFE4E85" w14:textId="2C46C75D" w:rsidR="00F07FBC" w:rsidRPr="00F07FBC" w:rsidRDefault="00F07FBC" w:rsidP="00F07FBC">
      <w:pPr>
        <w:pStyle w:val="Reporttext"/>
        <w:rPr>
          <w:color w:val="000000" w:themeColor="text1"/>
        </w:rPr>
      </w:pPr>
      <w:r>
        <w:t>84.6</w:t>
      </w:r>
      <w:r w:rsidRPr="007E55CE">
        <w:t xml:space="preserve">% of respondents </w:t>
      </w:r>
      <w:r>
        <w:t xml:space="preserve">(base = 13) </w:t>
      </w:r>
      <w:r w:rsidRPr="007E55CE">
        <w:t xml:space="preserve">considered that there is a need for additional permanent pitch provision in </w:t>
      </w:r>
      <w:r>
        <w:t>West Berkshire</w:t>
      </w:r>
      <w:r w:rsidRPr="007E55CE">
        <w:t xml:space="preserve">. </w:t>
      </w:r>
      <w:r>
        <w:t>80%</w:t>
      </w:r>
      <w:r w:rsidRPr="007E55CE">
        <w:t xml:space="preserve"> felt there was a need for up to </w:t>
      </w:r>
      <w:r>
        <w:t>10</w:t>
      </w:r>
      <w:r w:rsidRPr="007E55CE">
        <w:t xml:space="preserve"> additional pitches</w:t>
      </w:r>
      <w:r>
        <w:t xml:space="preserve"> although two felt there was a need for 50 pitches.</w:t>
      </w:r>
      <w:r w:rsidRPr="007E55CE">
        <w:t xml:space="preserve"> </w:t>
      </w:r>
    </w:p>
    <w:p w14:paraId="26C5A7CD" w14:textId="77777777" w:rsidR="00F07FBC" w:rsidRPr="00F07FBC" w:rsidRDefault="00F07FBC" w:rsidP="00F07FBC"/>
    <w:p w14:paraId="12D3220A" w14:textId="77777777" w:rsidR="0047087C" w:rsidRDefault="0047087C">
      <w:pPr>
        <w:spacing w:before="0" w:after="0"/>
        <w:jc w:val="left"/>
        <w:rPr>
          <w:bCs/>
          <w:color w:val="009999"/>
          <w:kern w:val="32"/>
          <w:sz w:val="40"/>
          <w:szCs w:val="28"/>
        </w:rPr>
      </w:pPr>
      <w:r>
        <w:br w:type="page"/>
      </w:r>
    </w:p>
    <w:p w14:paraId="43DDE630" w14:textId="41271165" w:rsidR="0034765C" w:rsidRDefault="0034765C" w:rsidP="0034765C">
      <w:pPr>
        <w:pStyle w:val="Heading1"/>
      </w:pPr>
      <w:bookmarkStart w:id="199" w:name="_Toc13845479"/>
      <w:r>
        <w:t>Stakeholder consultation</w:t>
      </w:r>
      <w:bookmarkEnd w:id="183"/>
      <w:bookmarkEnd w:id="184"/>
      <w:bookmarkEnd w:id="185"/>
      <w:bookmarkEnd w:id="186"/>
      <w:bookmarkEnd w:id="199"/>
    </w:p>
    <w:p w14:paraId="32D49874" w14:textId="77777777" w:rsidR="0034765C" w:rsidRPr="008357AE" w:rsidRDefault="0034765C" w:rsidP="0034765C">
      <w:pPr>
        <w:pStyle w:val="Heading2"/>
      </w:pPr>
      <w:bookmarkStart w:id="200" w:name="_Toc375313636"/>
      <w:bookmarkStart w:id="201" w:name="_Toc431293866"/>
      <w:bookmarkStart w:id="202" w:name="_Toc417995976"/>
      <w:bookmarkStart w:id="203" w:name="_Toc457575073"/>
      <w:bookmarkStart w:id="204" w:name="_Toc459646250"/>
      <w:bookmarkStart w:id="205" w:name="_Toc462827493"/>
      <w:bookmarkStart w:id="206" w:name="_Toc476940332"/>
      <w:bookmarkStart w:id="207" w:name="_Toc510091968"/>
      <w:bookmarkStart w:id="208" w:name="_Toc516229336"/>
      <w:bookmarkStart w:id="209" w:name="_Toc13845480"/>
      <w:r w:rsidRPr="008357AE">
        <w:t>Overview</w:t>
      </w:r>
      <w:bookmarkEnd w:id="200"/>
      <w:bookmarkEnd w:id="201"/>
      <w:bookmarkEnd w:id="202"/>
      <w:bookmarkEnd w:id="203"/>
      <w:bookmarkEnd w:id="204"/>
      <w:bookmarkEnd w:id="205"/>
      <w:bookmarkEnd w:id="206"/>
      <w:bookmarkEnd w:id="207"/>
      <w:bookmarkEnd w:id="208"/>
      <w:bookmarkEnd w:id="209"/>
    </w:p>
    <w:p w14:paraId="68498B11" w14:textId="77777777" w:rsidR="0034765C" w:rsidRDefault="0034765C" w:rsidP="0034765C">
      <w:pPr>
        <w:pStyle w:val="Reporttext"/>
      </w:pPr>
      <w:r>
        <w:t>Consultation  was carried out as part of the GTAA process with key stakeholder across West Berkshire and the neighbouring local authority areas of Vale of White Horse, Reading, Wokingham, Basingstoke and Deane, Swindon, Wiltshire, South Oxfordshire, Test Valley, Bracknell Forest and Hart Councils</w:t>
      </w:r>
      <w:r w:rsidRPr="008357AE">
        <w:t>.</w:t>
      </w:r>
    </w:p>
    <w:p w14:paraId="3966F042" w14:textId="76F098F3" w:rsidR="0034765C" w:rsidRDefault="0034765C" w:rsidP="0034765C">
      <w:pPr>
        <w:pStyle w:val="Reporttext"/>
      </w:pPr>
      <w:r>
        <w:t xml:space="preserve">Stakeholders were </w:t>
      </w:r>
      <w:r w:rsidRPr="008357AE">
        <w:t xml:space="preserve">invited </w:t>
      </w:r>
      <w:r>
        <w:t xml:space="preserve">by arc4 </w:t>
      </w:r>
      <w:r w:rsidRPr="008357AE">
        <w:t xml:space="preserve">to participate in an online survey to provide their views on a range of issues relating to </w:t>
      </w:r>
      <w:r>
        <w:t xml:space="preserve">the </w:t>
      </w:r>
      <w:r w:rsidRPr="008357AE">
        <w:t xml:space="preserve">Gypsy and Traveller and Travelling Showpeople community within </w:t>
      </w:r>
      <w:r>
        <w:t>West Berkshire.</w:t>
      </w:r>
      <w:r w:rsidR="00787125">
        <w:t xml:space="preserve"> Stakeholders included community representatives, local authority officers from West Berkshire and neighbouring </w:t>
      </w:r>
      <w:r w:rsidR="00FE1557">
        <w:t>authorities</w:t>
      </w:r>
      <w:r w:rsidR="00787125">
        <w:t xml:space="preserve">. The Canals and Rivers Trust was also contacted to discuss Houseboat issues </w:t>
      </w:r>
    </w:p>
    <w:p w14:paraId="71513FC1" w14:textId="33CF7923" w:rsidR="0034765C" w:rsidRPr="00D31915" w:rsidRDefault="0034765C" w:rsidP="0034765C">
      <w:pPr>
        <w:pStyle w:val="Reporttext"/>
      </w:pPr>
      <w:r w:rsidRPr="008357AE">
        <w:t xml:space="preserve">A total of </w:t>
      </w:r>
      <w:r>
        <w:t>19</w:t>
      </w:r>
      <w:r w:rsidRPr="008357AE">
        <w:t xml:space="preserve"> separate responses (some only partial) to the stakeholder consultation were obtained</w:t>
      </w:r>
      <w:r>
        <w:t>.</w:t>
      </w:r>
      <w:r w:rsidRPr="008357AE">
        <w:t xml:space="preserve"> Respondents were asked to answer only the questions that they felt were relevant to their knowledge and experience. This is a qualitative summary of the views expressed by stakeholders responding to the online survey. </w:t>
      </w:r>
    </w:p>
    <w:p w14:paraId="5507C19A" w14:textId="77777777" w:rsidR="0034765C" w:rsidRDefault="0034765C" w:rsidP="0047087C">
      <w:bookmarkStart w:id="210" w:name="_Toc431293868"/>
      <w:bookmarkStart w:id="211" w:name="_Toc363369719"/>
      <w:bookmarkStart w:id="212" w:name="_Toc375313638"/>
      <w:bookmarkStart w:id="213" w:name="_Toc417995978"/>
      <w:bookmarkStart w:id="214" w:name="_Toc457575075"/>
      <w:bookmarkStart w:id="215" w:name="_Toc459646252"/>
      <w:bookmarkStart w:id="216" w:name="_Toc462827495"/>
      <w:bookmarkStart w:id="217" w:name="_Toc476940334"/>
      <w:bookmarkStart w:id="218" w:name="_Toc510091970"/>
    </w:p>
    <w:p w14:paraId="259B1FC4" w14:textId="77777777" w:rsidR="0034765C" w:rsidRPr="00D31915" w:rsidRDefault="0034765C" w:rsidP="0034765C">
      <w:pPr>
        <w:pStyle w:val="Heading2"/>
      </w:pPr>
      <w:bookmarkStart w:id="219" w:name="_Toc516229338"/>
      <w:bookmarkStart w:id="220" w:name="_Toc13845481"/>
      <w:r w:rsidRPr="00D31915">
        <w:t>Provision of accommodation</w:t>
      </w:r>
      <w:bookmarkEnd w:id="210"/>
      <w:bookmarkEnd w:id="211"/>
      <w:bookmarkEnd w:id="212"/>
      <w:bookmarkEnd w:id="213"/>
      <w:bookmarkEnd w:id="214"/>
      <w:bookmarkEnd w:id="215"/>
      <w:bookmarkEnd w:id="216"/>
      <w:bookmarkEnd w:id="217"/>
      <w:bookmarkEnd w:id="218"/>
      <w:bookmarkEnd w:id="219"/>
      <w:bookmarkEnd w:id="220"/>
      <w:r w:rsidRPr="00D31915">
        <w:t xml:space="preserve"> </w:t>
      </w:r>
    </w:p>
    <w:p w14:paraId="4B1E6E7B" w14:textId="77777777" w:rsidR="0034765C" w:rsidRPr="00D31915" w:rsidRDefault="0034765C" w:rsidP="0034765C">
      <w:pPr>
        <w:pStyle w:val="Reporttext"/>
      </w:pPr>
      <w:r w:rsidRPr="00D31915">
        <w:t xml:space="preserve">Stakeholders were asked to respond to a series of questions relating to the need for new pitch provision (both permanent and transit), existing pitch provision, households living in bricks and mortar accommodation, and unauthorised encampment activity. Their responses are summarised below. </w:t>
      </w:r>
    </w:p>
    <w:p w14:paraId="69813B13" w14:textId="77777777" w:rsidR="0034765C" w:rsidRPr="006348B9" w:rsidRDefault="0034765C" w:rsidP="0034765C">
      <w:pPr>
        <w:ind w:left="709"/>
        <w:rPr>
          <w:highlight w:val="red"/>
        </w:rPr>
      </w:pPr>
    </w:p>
    <w:p w14:paraId="1DC4324E" w14:textId="77777777" w:rsidR="0034765C" w:rsidRPr="00D31915" w:rsidRDefault="0034765C" w:rsidP="0034765C">
      <w:pPr>
        <w:pStyle w:val="Heading3"/>
      </w:pPr>
      <w:bookmarkStart w:id="221" w:name="_Toc396913585"/>
      <w:bookmarkStart w:id="222" w:name="_Toc397184205"/>
      <w:r w:rsidRPr="00D31915">
        <w:t>New Permanent</w:t>
      </w:r>
      <w:bookmarkEnd w:id="221"/>
      <w:bookmarkEnd w:id="222"/>
      <w:r w:rsidRPr="00D31915">
        <w:t xml:space="preserve"> sites</w:t>
      </w:r>
    </w:p>
    <w:p w14:paraId="7EFD70DF" w14:textId="77777777" w:rsidR="0034765C" w:rsidRDefault="0034765C" w:rsidP="0034765C">
      <w:pPr>
        <w:pStyle w:val="Reporttext"/>
        <w:rPr>
          <w:color w:val="000000" w:themeColor="text1"/>
        </w:rPr>
      </w:pPr>
      <w:r w:rsidRPr="003814B5">
        <w:t xml:space="preserve">Stakeholders were asked whether or not they felt that there is sufficient provision of permanent pitches and plots for Gypsies, Travellers and Travelling Showpeople in the study area. </w:t>
      </w:r>
      <w:r>
        <w:t xml:space="preserve">Some stakeholders responded </w:t>
      </w:r>
      <w:r w:rsidRPr="008B31EE">
        <w:rPr>
          <w:i/>
          <w:iCs/>
        </w:rPr>
        <w:t>‘no’</w:t>
      </w:r>
      <w:r>
        <w:t xml:space="preserve">, but the majority of stakeholders were unsure. </w:t>
      </w:r>
    </w:p>
    <w:p w14:paraId="1747BAE5" w14:textId="290D5187" w:rsidR="0034765C" w:rsidRPr="0034765C" w:rsidRDefault="0034765C" w:rsidP="0034765C">
      <w:pPr>
        <w:pStyle w:val="Reporttext"/>
        <w:rPr>
          <w:color w:val="000000" w:themeColor="text1"/>
        </w:rPr>
      </w:pPr>
      <w:r w:rsidRPr="0034765C">
        <w:rPr>
          <w:color w:val="000000" w:themeColor="text1"/>
        </w:rPr>
        <w:t xml:space="preserve">In terms of locations for new provision, the following points were made by respondents: </w:t>
      </w:r>
    </w:p>
    <w:p w14:paraId="35D99120" w14:textId="77777777" w:rsidR="0034765C" w:rsidRDefault="0034765C" w:rsidP="0034765C">
      <w:pPr>
        <w:pStyle w:val="bullet"/>
      </w:pPr>
      <w:r>
        <w:t>Several respondents felt that they should be located in accordance with n</w:t>
      </w:r>
      <w:r w:rsidRPr="008B31EE">
        <w:t xml:space="preserve">ational </w:t>
      </w:r>
      <w:r>
        <w:t>guidance/p</w:t>
      </w:r>
      <w:r w:rsidRPr="008B31EE">
        <w:t>olicy</w:t>
      </w:r>
      <w:r>
        <w:t>;</w:t>
      </w:r>
    </w:p>
    <w:p w14:paraId="76A1395C" w14:textId="77777777" w:rsidR="0034765C" w:rsidRDefault="0034765C" w:rsidP="0034765C">
      <w:pPr>
        <w:pStyle w:val="bullet"/>
      </w:pPr>
      <w:r>
        <w:t xml:space="preserve">Sites </w:t>
      </w:r>
      <w:r w:rsidRPr="008B31EE">
        <w:t>already permitted and where there is an identified need could also be tested for expansion or intensification. A site selection methodology and SA/SEA should guide site allocations. Consultation with the traveller community should be undertaken to understand where travellers would prefer sites to be allocated</w:t>
      </w:r>
      <w:r>
        <w:t>;</w:t>
      </w:r>
    </w:p>
    <w:p w14:paraId="22227C3B" w14:textId="77777777" w:rsidR="0034765C" w:rsidRDefault="0034765C" w:rsidP="0034765C">
      <w:pPr>
        <w:pStyle w:val="bullet"/>
        <w:rPr>
          <w:color w:val="000000" w:themeColor="text1"/>
        </w:rPr>
      </w:pPr>
      <w:r>
        <w:rPr>
          <w:color w:val="000000" w:themeColor="text1"/>
        </w:rPr>
        <w:t>I</w:t>
      </w:r>
      <w:r w:rsidRPr="008B31EE">
        <w:rPr>
          <w:color w:val="000000" w:themeColor="text1"/>
        </w:rPr>
        <w:t>t would be important to ensure that the locations selected did not result in detrimental impacts vis-à-vis neighbouring authorities</w:t>
      </w:r>
      <w:r>
        <w:rPr>
          <w:color w:val="000000" w:themeColor="text1"/>
        </w:rPr>
        <w:t xml:space="preserve">; </w:t>
      </w:r>
    </w:p>
    <w:p w14:paraId="20049603" w14:textId="3B9A3D76" w:rsidR="0034765C" w:rsidRDefault="0034765C" w:rsidP="0034765C">
      <w:pPr>
        <w:pStyle w:val="bullet"/>
        <w:rPr>
          <w:color w:val="000000" w:themeColor="text1"/>
        </w:rPr>
      </w:pPr>
      <w:r w:rsidRPr="008B31EE">
        <w:rPr>
          <w:color w:val="000000" w:themeColor="text1"/>
        </w:rPr>
        <w:t>Families are outgrowing the current two sites</w:t>
      </w:r>
      <w:r>
        <w:rPr>
          <w:color w:val="000000" w:themeColor="text1"/>
        </w:rPr>
        <w:t xml:space="preserve"> - </w:t>
      </w:r>
      <w:r w:rsidR="00002E31">
        <w:rPr>
          <w:color w:val="000000" w:themeColor="text1"/>
        </w:rPr>
        <w:t>Four</w:t>
      </w:r>
      <w:r w:rsidRPr="008B31EE">
        <w:rPr>
          <w:color w:val="000000" w:themeColor="text1"/>
        </w:rPr>
        <w:t xml:space="preserve"> Houses Corner</w:t>
      </w:r>
      <w:r>
        <w:rPr>
          <w:color w:val="000000" w:themeColor="text1"/>
        </w:rPr>
        <w:t xml:space="preserve"> and</w:t>
      </w:r>
      <w:r w:rsidRPr="008B31EE">
        <w:rPr>
          <w:color w:val="000000" w:themeColor="text1"/>
        </w:rPr>
        <w:t xml:space="preserve"> Paices Hill</w:t>
      </w:r>
      <w:r>
        <w:rPr>
          <w:color w:val="000000" w:themeColor="text1"/>
        </w:rPr>
        <w:t xml:space="preserve">. </w:t>
      </w:r>
      <w:r w:rsidRPr="008B31EE">
        <w:rPr>
          <w:color w:val="000000" w:themeColor="text1"/>
        </w:rPr>
        <w:t>As the families expand they need more space for additional trailers</w:t>
      </w:r>
      <w:r>
        <w:rPr>
          <w:color w:val="000000" w:themeColor="text1"/>
        </w:rPr>
        <w:t>;</w:t>
      </w:r>
    </w:p>
    <w:p w14:paraId="6AFBBBDE" w14:textId="77777777" w:rsidR="0034765C" w:rsidRDefault="0034765C" w:rsidP="0034765C">
      <w:pPr>
        <w:pStyle w:val="bullet"/>
        <w:rPr>
          <w:color w:val="000000" w:themeColor="text1"/>
        </w:rPr>
      </w:pPr>
      <w:r w:rsidRPr="008B31EE">
        <w:rPr>
          <w:color w:val="000000" w:themeColor="text1"/>
        </w:rPr>
        <w:t>They should be located in areas that are capable of providing adequate and proper basic facilities as well as access to schools, healthcare, etc.</w:t>
      </w:r>
      <w:r>
        <w:rPr>
          <w:color w:val="000000" w:themeColor="text1"/>
        </w:rPr>
        <w:t>;</w:t>
      </w:r>
    </w:p>
    <w:p w14:paraId="56631820" w14:textId="77777777" w:rsidR="0034765C" w:rsidRDefault="0034765C" w:rsidP="0034765C">
      <w:pPr>
        <w:pStyle w:val="bullet"/>
        <w:rPr>
          <w:color w:val="000000" w:themeColor="text1"/>
        </w:rPr>
      </w:pPr>
      <w:r w:rsidRPr="008B31EE">
        <w:rPr>
          <w:color w:val="000000" w:themeColor="text1"/>
        </w:rPr>
        <w:t>It would be expected that need is met within the borough of West Berks</w:t>
      </w:r>
      <w:r>
        <w:rPr>
          <w:color w:val="000000" w:themeColor="text1"/>
        </w:rPr>
        <w:t>hire</w:t>
      </w:r>
      <w:r w:rsidRPr="008B31EE">
        <w:rPr>
          <w:color w:val="000000" w:themeColor="text1"/>
        </w:rPr>
        <w:t xml:space="preserve"> as close as possible to where the need specifically arises</w:t>
      </w:r>
      <w:r>
        <w:rPr>
          <w:color w:val="000000" w:themeColor="text1"/>
        </w:rPr>
        <w:t>;</w:t>
      </w:r>
    </w:p>
    <w:p w14:paraId="32A173CB" w14:textId="60F1688F" w:rsidR="0034765C" w:rsidRPr="000C0971" w:rsidRDefault="0034765C" w:rsidP="0034765C">
      <w:pPr>
        <w:pStyle w:val="bullet"/>
        <w:rPr>
          <w:color w:val="000000" w:themeColor="text1"/>
        </w:rPr>
      </w:pPr>
      <w:r w:rsidRPr="000C0971">
        <w:rPr>
          <w:color w:val="000000" w:themeColor="text1"/>
        </w:rPr>
        <w:t xml:space="preserve">A total of 24 plots for </w:t>
      </w:r>
      <w:r>
        <w:rPr>
          <w:color w:val="000000" w:themeColor="text1"/>
        </w:rPr>
        <w:t>T</w:t>
      </w:r>
      <w:r w:rsidRPr="000C0971">
        <w:rPr>
          <w:color w:val="000000" w:themeColor="text1"/>
        </w:rPr>
        <w:t xml:space="preserve">ravelling </w:t>
      </w:r>
      <w:r>
        <w:rPr>
          <w:color w:val="000000" w:themeColor="text1"/>
        </w:rPr>
        <w:t>S</w:t>
      </w:r>
      <w:r w:rsidRPr="000C0971">
        <w:rPr>
          <w:color w:val="000000" w:themeColor="text1"/>
        </w:rPr>
        <w:t>howpeople should be provided at Long Copse Farm, Enborne, Berkshire</w:t>
      </w:r>
      <w:r>
        <w:rPr>
          <w:color w:val="000000" w:themeColor="text1"/>
        </w:rPr>
        <w:t xml:space="preserve"> – s</w:t>
      </w:r>
      <w:r w:rsidRPr="000C0971">
        <w:rPr>
          <w:color w:val="000000" w:themeColor="text1"/>
        </w:rPr>
        <w:t xml:space="preserve">iting the plots there would meet the social objectives of sustainability, by providing the </w:t>
      </w:r>
      <w:r>
        <w:rPr>
          <w:color w:val="000000" w:themeColor="text1"/>
        </w:rPr>
        <w:t>S</w:t>
      </w:r>
      <w:r w:rsidRPr="000C0971">
        <w:rPr>
          <w:color w:val="000000" w:themeColor="text1"/>
        </w:rPr>
        <w:t xml:space="preserve">howpeople with accommodation associated with the </w:t>
      </w:r>
      <w:r w:rsidR="00BD7759">
        <w:rPr>
          <w:color w:val="000000" w:themeColor="text1"/>
        </w:rPr>
        <w:t>ci</w:t>
      </w:r>
      <w:r w:rsidRPr="000C0971">
        <w:rPr>
          <w:color w:val="000000" w:themeColor="text1"/>
        </w:rPr>
        <w:t>rcus</w:t>
      </w:r>
      <w:r>
        <w:rPr>
          <w:color w:val="000000" w:themeColor="text1"/>
        </w:rPr>
        <w:t xml:space="preserve">, </w:t>
      </w:r>
      <w:r w:rsidRPr="000C0971">
        <w:rPr>
          <w:color w:val="000000" w:themeColor="text1"/>
        </w:rPr>
        <w:t xml:space="preserve">the environmental objectives through its preferential extension of an existing use and opportunity to improve the landscaping on site, and the economic objectives by contributing to the future security of </w:t>
      </w:r>
      <w:r>
        <w:rPr>
          <w:color w:val="000000" w:themeColor="text1"/>
        </w:rPr>
        <w:t>the</w:t>
      </w:r>
      <w:r w:rsidRPr="000C0971">
        <w:rPr>
          <w:color w:val="000000" w:themeColor="text1"/>
        </w:rPr>
        <w:t xml:space="preserve"> </w:t>
      </w:r>
      <w:r w:rsidR="00BD7759">
        <w:rPr>
          <w:color w:val="000000" w:themeColor="text1"/>
        </w:rPr>
        <w:t>c</w:t>
      </w:r>
      <w:r w:rsidRPr="000C0971">
        <w:rPr>
          <w:color w:val="000000" w:themeColor="text1"/>
        </w:rPr>
        <w:t>ircus.</w:t>
      </w:r>
    </w:p>
    <w:p w14:paraId="76E4095C" w14:textId="7ED47124" w:rsidR="0034765C" w:rsidRPr="00C64F63" w:rsidRDefault="0034765C" w:rsidP="00CF5F7C">
      <w:pPr>
        <w:pStyle w:val="Reporttext"/>
        <w:rPr>
          <w:rFonts w:cs="Calibri"/>
        </w:rPr>
      </w:pPr>
      <w:r w:rsidRPr="00C64F63">
        <w:rPr>
          <w:rFonts w:cs="Calibri"/>
        </w:rPr>
        <w:t xml:space="preserve">Respondents identified the </w:t>
      </w:r>
      <w:r>
        <w:rPr>
          <w:rFonts w:cs="Calibri"/>
        </w:rPr>
        <w:t>main</w:t>
      </w:r>
      <w:r w:rsidRPr="00C64F63">
        <w:rPr>
          <w:rFonts w:cs="Calibri"/>
        </w:rPr>
        <w:t xml:space="preserve"> barrier to new site provision</w:t>
      </w:r>
      <w:r>
        <w:rPr>
          <w:rFonts w:cs="Calibri"/>
        </w:rPr>
        <w:t xml:space="preserve"> as land availability. It was mentioned that private landowners are unlikely to willingly enable sites to be brought forward on their land due to fear of opposition, occurrence of unauthorised encampments and conventional housing being more profitable. A </w:t>
      </w:r>
      <w:r w:rsidR="009F5063">
        <w:t>l</w:t>
      </w:r>
      <w:r w:rsidRPr="000C0971">
        <w:t xml:space="preserve">ack of public funding to establish new public owned sites is </w:t>
      </w:r>
      <w:r>
        <w:t xml:space="preserve">also considered to be </w:t>
      </w:r>
      <w:r w:rsidRPr="000C0971">
        <w:t>a key barrier to provision.</w:t>
      </w:r>
      <w:r>
        <w:t xml:space="preserve"> In addition, public perception of Gypsy and Traveller sites and the local opposition and prejudice they face also hinders new site provision. </w:t>
      </w:r>
    </w:p>
    <w:p w14:paraId="25480DBA" w14:textId="77777777" w:rsidR="0034765C" w:rsidRPr="00137D77" w:rsidRDefault="0034765C" w:rsidP="0034765C">
      <w:pPr>
        <w:pStyle w:val="bullet"/>
        <w:numPr>
          <w:ilvl w:val="0"/>
          <w:numId w:val="0"/>
        </w:numPr>
        <w:ind w:left="1069"/>
      </w:pPr>
    </w:p>
    <w:p w14:paraId="5843636C" w14:textId="77777777" w:rsidR="0034765C" w:rsidRPr="00072570" w:rsidRDefault="0034765C" w:rsidP="0034765C">
      <w:pPr>
        <w:pStyle w:val="Heading3"/>
      </w:pPr>
      <w:bookmarkStart w:id="223" w:name="_Toc396913586"/>
      <w:bookmarkStart w:id="224" w:name="_Toc397184206"/>
      <w:r w:rsidRPr="00072570">
        <w:t>Transit</w:t>
      </w:r>
      <w:bookmarkEnd w:id="223"/>
      <w:bookmarkEnd w:id="224"/>
      <w:r w:rsidRPr="00072570">
        <w:t xml:space="preserve"> sites</w:t>
      </w:r>
    </w:p>
    <w:p w14:paraId="090AF760" w14:textId="77777777" w:rsidR="004D0FAA" w:rsidRDefault="0034765C" w:rsidP="004D0FAA">
      <w:pPr>
        <w:pStyle w:val="Reporttext"/>
      </w:pPr>
      <w:r w:rsidRPr="00072570">
        <w:t>When asked whether transit sites are needed</w:t>
      </w:r>
      <w:r>
        <w:t>, the majority of</w:t>
      </w:r>
      <w:r w:rsidRPr="00072570">
        <w:t xml:space="preserve"> stakeholders </w:t>
      </w:r>
      <w:r>
        <w:t>thought that these were needed, not only in West Berkshire, but also in Basingstoke and Deane, South Oxfordshire, Vale of White Horse and Bracknell Forest. Several stakeholders believed that a</w:t>
      </w:r>
      <w:r w:rsidRPr="00DB72EA">
        <w:t xml:space="preserve"> key source of evidence is the </w:t>
      </w:r>
      <w:r>
        <w:t>prevalence</w:t>
      </w:r>
      <w:r w:rsidRPr="00DB72EA">
        <w:t xml:space="preserve"> and location of unauthorised encampments in local authority area</w:t>
      </w:r>
      <w:r>
        <w:t xml:space="preserve">s. In terms of where such transit sites should be located, stakeholders thought that they should be near to </w:t>
      </w:r>
      <w:r w:rsidRPr="00DB72EA">
        <w:t xml:space="preserve">key travelling routes and the strategic road network. </w:t>
      </w:r>
      <w:r>
        <w:t xml:space="preserve">One stakeholder, however, expressed the opinion that transit sites would not be useful in West Berkshire. </w:t>
      </w:r>
    </w:p>
    <w:p w14:paraId="30952C2F" w14:textId="01AA9B0D" w:rsidR="0034765C" w:rsidRDefault="0034765C" w:rsidP="00CF5F7C">
      <w:pPr>
        <w:pStyle w:val="Reporttext"/>
      </w:pPr>
      <w:r>
        <w:t>Several respondents identified that</w:t>
      </w:r>
      <w:r w:rsidRPr="00243D5C">
        <w:t xml:space="preserve"> barriers to transit provision were </w:t>
      </w:r>
      <w:r>
        <w:t>similar to those</w:t>
      </w:r>
      <w:r w:rsidRPr="00243D5C">
        <w:t xml:space="preserve"> </w:t>
      </w:r>
      <w:r>
        <w:t>relating to</w:t>
      </w:r>
      <w:r w:rsidRPr="00243D5C">
        <w:t xml:space="preserve"> new </w:t>
      </w:r>
      <w:r>
        <w:t xml:space="preserve">permanent </w:t>
      </w:r>
      <w:r w:rsidRPr="00243D5C">
        <w:t xml:space="preserve">site </w:t>
      </w:r>
      <w:r>
        <w:t>provision. The following barriers were specifically mentioned regarding transit provision</w:t>
      </w:r>
      <w:r w:rsidRPr="00243D5C">
        <w:t xml:space="preserve">: </w:t>
      </w:r>
    </w:p>
    <w:p w14:paraId="65CCD718" w14:textId="77777777" w:rsidR="0034765C" w:rsidRPr="00A112CF" w:rsidRDefault="0034765C" w:rsidP="0034765C">
      <w:pPr>
        <w:pStyle w:val="bullet"/>
      </w:pPr>
      <w:r>
        <w:t xml:space="preserve">Land availability; </w:t>
      </w:r>
    </w:p>
    <w:p w14:paraId="7E64B39E" w14:textId="77777777" w:rsidR="0034765C" w:rsidRDefault="0034765C" w:rsidP="0034765C">
      <w:pPr>
        <w:pStyle w:val="bullet"/>
      </w:pPr>
      <w:r>
        <w:t>The m</w:t>
      </w:r>
      <w:r w:rsidRPr="00055F4D">
        <w:t>anagement of sites</w:t>
      </w:r>
      <w:r>
        <w:t xml:space="preserve">; and </w:t>
      </w:r>
    </w:p>
    <w:p w14:paraId="784BB6EC" w14:textId="77777777" w:rsidR="0034765C" w:rsidRPr="00A112CF" w:rsidRDefault="0034765C" w:rsidP="0034765C">
      <w:pPr>
        <w:pStyle w:val="bullet"/>
      </w:pPr>
      <w:r>
        <w:t xml:space="preserve">High costs of set up. </w:t>
      </w:r>
    </w:p>
    <w:p w14:paraId="0BB565C3" w14:textId="77777777" w:rsidR="0034765C" w:rsidRPr="00055F4D" w:rsidRDefault="0034765C" w:rsidP="00CF5F7C">
      <w:pPr>
        <w:pStyle w:val="Reporttext"/>
      </w:pPr>
      <w:r w:rsidRPr="004D0FAA">
        <w:t>In</w:t>
      </w:r>
      <w:r w:rsidRPr="00243D5C">
        <w:rPr>
          <w:rFonts w:cs="Calibri"/>
        </w:rPr>
        <w:t xml:space="preserve"> terms of additional </w:t>
      </w:r>
      <w:r w:rsidRPr="00863371">
        <w:rPr>
          <w:rFonts w:cs="Calibri"/>
        </w:rPr>
        <w:t>comments</w:t>
      </w:r>
      <w:r>
        <w:rPr>
          <w:rFonts w:cs="Calibri"/>
        </w:rPr>
        <w:t xml:space="preserve"> on these issues</w:t>
      </w:r>
      <w:r w:rsidRPr="00863371">
        <w:rPr>
          <w:rFonts w:cs="Calibri"/>
        </w:rPr>
        <w:t xml:space="preserve">, </w:t>
      </w:r>
      <w:r>
        <w:rPr>
          <w:rFonts w:cs="Calibri"/>
        </w:rPr>
        <w:t>respondents expressed that:</w:t>
      </w:r>
    </w:p>
    <w:p w14:paraId="490D9E37" w14:textId="77777777" w:rsidR="0034765C" w:rsidRDefault="0034765C" w:rsidP="00CF5F7C">
      <w:pPr>
        <w:pStyle w:val="Reporttext"/>
        <w:numPr>
          <w:ilvl w:val="0"/>
          <w:numId w:val="26"/>
        </w:numPr>
        <w:ind w:left="1134"/>
      </w:pPr>
      <w:r w:rsidRPr="00055F4D">
        <w:t>There will have to be corporate support and money to implement and manage transit/emergency stopping sites and this will require careful 'pitching' to decision takers highlighting the policy requirements, costs and benefits of site provision</w:t>
      </w:r>
      <w:r>
        <w:t>;</w:t>
      </w:r>
    </w:p>
    <w:p w14:paraId="2A7B7C8C" w14:textId="77777777" w:rsidR="0034765C" w:rsidRDefault="0034765C" w:rsidP="00CF5F7C">
      <w:pPr>
        <w:pStyle w:val="Reporttext"/>
        <w:numPr>
          <w:ilvl w:val="0"/>
          <w:numId w:val="26"/>
        </w:numPr>
        <w:ind w:left="1134"/>
      </w:pPr>
      <w:r w:rsidRPr="00055F4D">
        <w:t>The provision of a network of emergency stopping places/transit sites within the wider regional context would be beneficial for travelling communities</w:t>
      </w:r>
      <w:r>
        <w:t>;</w:t>
      </w:r>
    </w:p>
    <w:p w14:paraId="5E65D528" w14:textId="77777777" w:rsidR="0034765C" w:rsidRDefault="0034765C" w:rsidP="00CF5F7C">
      <w:pPr>
        <w:pStyle w:val="Reporttext"/>
        <w:numPr>
          <w:ilvl w:val="0"/>
          <w:numId w:val="26"/>
        </w:numPr>
        <w:ind w:left="1134"/>
      </w:pPr>
      <w:r w:rsidRPr="00055F4D">
        <w:t>The legislative framework</w:t>
      </w:r>
      <w:r>
        <w:t xml:space="preserve"> </w:t>
      </w:r>
      <w:r w:rsidRPr="00055F4D">
        <w:t xml:space="preserve">is not conducive to the provision of transit sites that meet genuine regional needs where no </w:t>
      </w:r>
      <w:r>
        <w:t>c</w:t>
      </w:r>
      <w:r w:rsidRPr="00055F4D">
        <w:t xml:space="preserve">ounty </w:t>
      </w:r>
      <w:r>
        <w:t>c</w:t>
      </w:r>
      <w:r w:rsidRPr="00055F4D">
        <w:t>ouncil level of governance exists. Hypothetically, if a transit site is delivered in one unitary authority area in close proximity to another, the second unitary authority does not benefit from the increased powers to move on unauthorised encampments to this transit site as it is my understanding that such powers can only be used when a transit site exists within the boundaries of the unitary authority area that is seeking to move on the encampment</w:t>
      </w:r>
      <w:r>
        <w:t>;</w:t>
      </w:r>
    </w:p>
    <w:p w14:paraId="03AF589F" w14:textId="77777777" w:rsidR="0034765C" w:rsidRDefault="0034765C" w:rsidP="00CF5F7C">
      <w:pPr>
        <w:pStyle w:val="Reporttext"/>
        <w:numPr>
          <w:ilvl w:val="0"/>
          <w:numId w:val="26"/>
        </w:numPr>
        <w:ind w:left="1134"/>
      </w:pPr>
      <w:r>
        <w:t xml:space="preserve">A representative from Reading Borough Council noted that whilst </w:t>
      </w:r>
      <w:r w:rsidRPr="00055F4D">
        <w:t>RBC continues to try to identify transit site</w:t>
      </w:r>
      <w:r>
        <w:t>s</w:t>
      </w:r>
      <w:r w:rsidRPr="00055F4D">
        <w:t xml:space="preserve"> within its boundaries</w:t>
      </w:r>
      <w:r>
        <w:t>, it</w:t>
      </w:r>
      <w:r w:rsidRPr="00055F4D">
        <w:t xml:space="preserve"> considers that its permanent </w:t>
      </w:r>
      <w:r w:rsidRPr="00FE778B">
        <w:t>needs are likely to need to be met</w:t>
      </w:r>
      <w:r w:rsidRPr="00055F4D">
        <w:t xml:space="preserve"> in neighbouring authorities.  For this reason, a </w:t>
      </w:r>
      <w:r>
        <w:t>D</w:t>
      </w:r>
      <w:r w:rsidRPr="00055F4D">
        <w:t xml:space="preserve">uty to </w:t>
      </w:r>
      <w:r>
        <w:t>C</w:t>
      </w:r>
      <w:r w:rsidRPr="00055F4D">
        <w:t>o-operate request was made</w:t>
      </w:r>
      <w:r>
        <w:t xml:space="preserve">, which </w:t>
      </w:r>
      <w:r w:rsidRPr="00055F4D">
        <w:t>did not result in any agreement to deliver Reading's unmet need.  The consideration of the need for new sites in West Berkshire (and other authorities) should take account of this, and RBC are keen to work together to address these issues</w:t>
      </w:r>
      <w:r>
        <w:t>;</w:t>
      </w:r>
    </w:p>
    <w:p w14:paraId="78E76D40" w14:textId="77777777" w:rsidR="0034765C" w:rsidRPr="00DB7C69" w:rsidRDefault="0034765C" w:rsidP="00CF5F7C">
      <w:pPr>
        <w:pStyle w:val="Reporttext"/>
        <w:numPr>
          <w:ilvl w:val="0"/>
          <w:numId w:val="26"/>
        </w:numPr>
        <w:ind w:left="1134"/>
      </w:pPr>
      <w:r w:rsidRPr="00DB7C69">
        <w:t>A "stopping place" in the summer months would be more helpful</w:t>
      </w:r>
      <w:r>
        <w:t>, with</w:t>
      </w:r>
      <w:r w:rsidRPr="00DB7C69">
        <w:t xml:space="preserve"> a small deposit left </w:t>
      </w:r>
      <w:r>
        <w:t>by Travellers which is</w:t>
      </w:r>
      <w:r w:rsidRPr="00DB7C69">
        <w:t xml:space="preserve"> only returned when the Travellers le</w:t>
      </w:r>
      <w:r>
        <w:t>ave,</w:t>
      </w:r>
      <w:r w:rsidRPr="00DB7C69">
        <w:t xml:space="preserve"> if no damage</w:t>
      </w:r>
      <w:r>
        <w:t xml:space="preserve"> has been caused.</w:t>
      </w:r>
      <w:bookmarkStart w:id="225" w:name="_Toc396913587"/>
      <w:bookmarkStart w:id="226" w:name="_Toc397184207"/>
    </w:p>
    <w:p w14:paraId="615737DE" w14:textId="77777777" w:rsidR="0034765C" w:rsidRDefault="0034765C" w:rsidP="00CD5890"/>
    <w:p w14:paraId="6A073728" w14:textId="77777777" w:rsidR="0034765C" w:rsidRPr="00C908FB" w:rsidRDefault="0034765C" w:rsidP="0034765C">
      <w:pPr>
        <w:pStyle w:val="Heading3"/>
        <w:ind w:left="0" w:firstLine="709"/>
      </w:pPr>
      <w:r w:rsidRPr="00C908FB">
        <w:t>Existing sites</w:t>
      </w:r>
      <w:bookmarkEnd w:id="225"/>
      <w:bookmarkEnd w:id="226"/>
    </w:p>
    <w:p w14:paraId="10C1E08B" w14:textId="02FF8666" w:rsidR="004D0FAA" w:rsidRDefault="0034765C" w:rsidP="004D0FAA">
      <w:pPr>
        <w:pStyle w:val="Reporttext"/>
      </w:pPr>
      <w:r w:rsidRPr="00C908FB">
        <w:t xml:space="preserve">There was limited response from stakeholders in relation to survey questions regarding existing sites and their facilities. </w:t>
      </w:r>
      <w:r>
        <w:t>One stakeholder mentioned the</w:t>
      </w:r>
      <w:r w:rsidRPr="00881171">
        <w:t xml:space="preserve"> </w:t>
      </w:r>
      <w:r w:rsidR="004D0FAA">
        <w:t>Four</w:t>
      </w:r>
      <w:r w:rsidRPr="00881171">
        <w:t xml:space="preserve"> House Corner </w:t>
      </w:r>
      <w:r>
        <w:t xml:space="preserve">site, </w:t>
      </w:r>
      <w:r w:rsidRPr="00881171">
        <w:t xml:space="preserve">which is currently in the process of being </w:t>
      </w:r>
      <w:r w:rsidR="004D0FAA">
        <w:t>refurbished</w:t>
      </w:r>
      <w:r>
        <w:t>,</w:t>
      </w:r>
      <w:r w:rsidRPr="00881171">
        <w:t xml:space="preserve"> but has the difficulty of residents not wanting to move into housing</w:t>
      </w:r>
      <w:r>
        <w:t xml:space="preserve"> and c</w:t>
      </w:r>
      <w:r w:rsidRPr="00881171">
        <w:t xml:space="preserve">hildren are living next to huge rubbish tips where the site has been partially dug over. </w:t>
      </w:r>
      <w:r>
        <w:t>One stakeholder mentioned that t</w:t>
      </w:r>
      <w:r w:rsidRPr="00881171">
        <w:t>he existing site at Long Copse is too small to provide the necessary plot numbers required. Furthermore, the plot sizes do not meet the Showmen's Guild Model (site layout) Standards</w:t>
      </w:r>
      <w:r>
        <w:t xml:space="preserve">. Another stakeholder noted that </w:t>
      </w:r>
      <w:r w:rsidRPr="0092504F">
        <w:t>privately run sites in Wiltshire</w:t>
      </w:r>
      <w:r>
        <w:t xml:space="preserve"> </w:t>
      </w:r>
      <w:r w:rsidRPr="00881171">
        <w:t>are generally of good standard</w:t>
      </w:r>
      <w:r>
        <w:t xml:space="preserve"> and that t</w:t>
      </w:r>
      <w:r w:rsidRPr="00881171">
        <w:t xml:space="preserve">he Council has recently refurbished </w:t>
      </w:r>
      <w:r w:rsidR="004D0FAA">
        <w:t>three</w:t>
      </w:r>
      <w:r w:rsidRPr="00881171">
        <w:t xml:space="preserve"> of its sites</w:t>
      </w:r>
      <w:r>
        <w:t xml:space="preserve">. </w:t>
      </w:r>
    </w:p>
    <w:p w14:paraId="2465ACE8" w14:textId="39671D25" w:rsidR="004D0FAA" w:rsidRDefault="0034765C" w:rsidP="004D0FAA">
      <w:pPr>
        <w:pStyle w:val="Reporttext"/>
      </w:pPr>
      <w:r w:rsidRPr="00CE6439">
        <w:t xml:space="preserve">In terms of the management of existing sites, </w:t>
      </w:r>
      <w:r>
        <w:t>one</w:t>
      </w:r>
      <w:r w:rsidRPr="00CE6439">
        <w:t xml:space="preserve"> </w:t>
      </w:r>
      <w:r>
        <w:t>stakeholder</w:t>
      </w:r>
      <w:r w:rsidRPr="00281007">
        <w:t xml:space="preserve"> </w:t>
      </w:r>
      <w:r>
        <w:t>commented</w:t>
      </w:r>
      <w:r w:rsidR="0092504F">
        <w:t xml:space="preserve"> that they</w:t>
      </w:r>
      <w:r>
        <w:t xml:space="preserve"> believed that </w:t>
      </w:r>
      <w:r w:rsidRPr="00281007">
        <w:t xml:space="preserve">the transition for residents on </w:t>
      </w:r>
      <w:r w:rsidR="004D0FAA">
        <w:t>Four</w:t>
      </w:r>
      <w:r w:rsidRPr="00281007">
        <w:t xml:space="preserve"> House Corner could have been managed more effectively. </w:t>
      </w:r>
      <w:r>
        <w:t>They compared this to a better managed Traveller site in Surrey</w:t>
      </w:r>
      <w:r w:rsidR="0092504F">
        <w:t>,</w:t>
      </w:r>
      <w:r>
        <w:t xml:space="preserve"> where they said that</w:t>
      </w:r>
      <w:r w:rsidRPr="00281007">
        <w:t xml:space="preserve"> residents were given a temporary site while building </w:t>
      </w:r>
      <w:r>
        <w:t xml:space="preserve">redevelopment </w:t>
      </w:r>
      <w:r w:rsidRPr="00281007">
        <w:t>work took place. This</w:t>
      </w:r>
      <w:r>
        <w:t xml:space="preserve"> meant that Travellers did not have</w:t>
      </w:r>
      <w:r w:rsidRPr="00281007">
        <w:t xml:space="preserve"> to </w:t>
      </w:r>
      <w:r>
        <w:t xml:space="preserve">move to </w:t>
      </w:r>
      <w:r w:rsidRPr="00281007">
        <w:t xml:space="preserve">bricks and mortar </w:t>
      </w:r>
      <w:r>
        <w:t>nor did</w:t>
      </w:r>
      <w:r w:rsidRPr="00281007">
        <w:t xml:space="preserve"> children's education </w:t>
      </w:r>
      <w:r>
        <w:t>get</w:t>
      </w:r>
      <w:r w:rsidRPr="00281007">
        <w:t xml:space="preserve"> disrupted</w:t>
      </w:r>
      <w:r>
        <w:t xml:space="preserve">. </w:t>
      </w:r>
    </w:p>
    <w:p w14:paraId="31CE65EF" w14:textId="77777777" w:rsidR="004D0FAA" w:rsidRDefault="0034765C" w:rsidP="004D0FAA">
      <w:pPr>
        <w:pStyle w:val="Reporttext"/>
      </w:pPr>
      <w:r w:rsidRPr="00624D23">
        <w:t xml:space="preserve">Stakeholders were asked if they were aware of issues or tensions between Gypsies, Travellers and Travelling Showpeople and the settled community. </w:t>
      </w:r>
      <w:r>
        <w:t xml:space="preserve">Several stakeholders were unaware of tensions within West Berkshire, except one stakeholder who stated that ongoing tensions are regularly reported at both sites in West Berkshire at termly meetings held with GRT practitioners and police. Other stakeholders noted significant tensions in other areas such as Reading and Enborne. </w:t>
      </w:r>
    </w:p>
    <w:p w14:paraId="724E8EDE" w14:textId="7B98D91F" w:rsidR="0034765C" w:rsidRPr="005603A8" w:rsidRDefault="0034765C" w:rsidP="00CF5F7C">
      <w:pPr>
        <w:pStyle w:val="Reporttext"/>
      </w:pPr>
      <w:r w:rsidRPr="00321DEC">
        <w:t xml:space="preserve">Additional comments on these issues </w:t>
      </w:r>
      <w:r>
        <w:t xml:space="preserve">were made by one stakeholder who mentioned that </w:t>
      </w:r>
      <w:r w:rsidRPr="00281007">
        <w:t>Wiltshire Council provides free pre-application advice to travellers as this group has disproportionately high levels of literacy issues and relatively poor knowledge of the planning system</w:t>
      </w:r>
      <w:r>
        <w:t>, which</w:t>
      </w:r>
      <w:r w:rsidRPr="00281007">
        <w:t xml:space="preserve"> can help prevent travellers purchasing land that is not acceptable in planning terms.</w:t>
      </w:r>
    </w:p>
    <w:p w14:paraId="09473291" w14:textId="77777777" w:rsidR="0034765C" w:rsidRPr="005603A8" w:rsidRDefault="0034765C" w:rsidP="0034765C">
      <w:pPr>
        <w:pStyle w:val="Heading3"/>
      </w:pPr>
      <w:bookmarkStart w:id="227" w:name="_Toc396913588"/>
      <w:bookmarkStart w:id="228" w:name="_Toc397184208"/>
      <w:r w:rsidRPr="005603A8">
        <w:t>Bricks and mortar</w:t>
      </w:r>
      <w:bookmarkEnd w:id="227"/>
      <w:bookmarkEnd w:id="228"/>
    </w:p>
    <w:p w14:paraId="037B5E1F" w14:textId="77777777" w:rsidR="004D0FAA" w:rsidRDefault="0034765C" w:rsidP="004D0FAA">
      <w:pPr>
        <w:pStyle w:val="Reporttext"/>
      </w:pPr>
      <w:r>
        <w:t>One</w:t>
      </w:r>
      <w:r w:rsidRPr="005603A8">
        <w:t xml:space="preserve"> stakeholder confirmed that they are aware of members of the Gypsy, Traveller and Travelling Showpeople community living in bricks and mortar accommodation across </w:t>
      </w:r>
      <w:r>
        <w:t>West Berkshire</w:t>
      </w:r>
      <w:r w:rsidRPr="005603A8">
        <w:t xml:space="preserve">. </w:t>
      </w:r>
    </w:p>
    <w:p w14:paraId="2A1383E7" w14:textId="5005B340" w:rsidR="004D0FAA" w:rsidRDefault="0034765C" w:rsidP="004D0FAA">
      <w:pPr>
        <w:pStyle w:val="Reporttext"/>
      </w:pPr>
      <w:r w:rsidRPr="009668A5">
        <w:t xml:space="preserve">Asked </w:t>
      </w:r>
      <w:r>
        <w:t>whether additional site/pitch provision needs to be made to accommodate the requirements of Gypsies, Travellers and Travelling Showpeople currently living in bricks and mortar across West Berkshire, some stakeholders believed that this is needed. Two stakeholders expressed that if there is evidence to show that those in bricks and mortar would prefer to move to a new site/pitch then there is this need. One of these noted that b</w:t>
      </w:r>
      <w:r w:rsidRPr="00966D8C">
        <w:t>ricks and mortar accommodation is generally not culturally suitable accommodation for people who live a nomadic life.</w:t>
      </w:r>
      <w:r>
        <w:t xml:space="preserve"> Another stakeholder mentioned the </w:t>
      </w:r>
      <w:r w:rsidRPr="00966D8C">
        <w:t xml:space="preserve">recent change to the definition of Gypsies and Travellers </w:t>
      </w:r>
      <w:r>
        <w:t xml:space="preserve">which </w:t>
      </w:r>
      <w:r w:rsidRPr="00966D8C">
        <w:t>may lead to an underestimation of need across the country</w:t>
      </w:r>
      <w:r>
        <w:t>, as t</w:t>
      </w:r>
      <w:r w:rsidRPr="00966D8C">
        <w:t>he definition is likely to make it harder for those who have settled</w:t>
      </w:r>
      <w:r w:rsidR="00E829EB">
        <w:t>,</w:t>
      </w:r>
      <w:r w:rsidRPr="00966D8C">
        <w:t xml:space="preserve"> unwillingly to return to a travelling lifestyle. </w:t>
      </w:r>
      <w:r>
        <w:t xml:space="preserve">One stakeholder noted that </w:t>
      </w:r>
      <w:r w:rsidRPr="00966D8C">
        <w:t>the families that are housed in bricks and mortar do not wish to have sites in this area but some of them do travel to different areas in trailers as part of their work or during holiday periods to visit family members.</w:t>
      </w:r>
    </w:p>
    <w:p w14:paraId="734D113D" w14:textId="77777777" w:rsidR="004D0FAA" w:rsidRDefault="0034765C" w:rsidP="004D0FAA">
      <w:pPr>
        <w:pStyle w:val="Reporttext"/>
      </w:pPr>
      <w:r w:rsidRPr="00A66088">
        <w:t xml:space="preserve">Stakeholders were asked if they were aware of whether Gypsies, Travellers and Travelling Showpeople feel safe in bricks and mortar accommodation in the study area, and if they have specific cultural needs. One stakeholder </w:t>
      </w:r>
      <w:r>
        <w:t xml:space="preserve">said that from experience in Vale of White Horse, it is understood that those who live in bricks in mortar do feel safe. However, another stakeholder told us that they are aware of one </w:t>
      </w:r>
      <w:r w:rsidRPr="00966D8C">
        <w:t xml:space="preserve">particular family </w:t>
      </w:r>
      <w:r>
        <w:t xml:space="preserve">in the study area </w:t>
      </w:r>
      <w:r w:rsidRPr="00966D8C">
        <w:t>who feel they are ostraci</w:t>
      </w:r>
      <w:r>
        <w:t>s</w:t>
      </w:r>
      <w:r w:rsidRPr="00966D8C">
        <w:t xml:space="preserve">ed in their local community because they are known to be gypsies. </w:t>
      </w:r>
    </w:p>
    <w:p w14:paraId="066B2ED1" w14:textId="49483CB0" w:rsidR="0034765C" w:rsidRPr="00A66088" w:rsidRDefault="0034765C" w:rsidP="00CF5F7C">
      <w:pPr>
        <w:pStyle w:val="Reporttext"/>
      </w:pPr>
      <w:r>
        <w:t>No</w:t>
      </w:r>
      <w:r w:rsidRPr="00A66088">
        <w:t xml:space="preserve"> additional comment</w:t>
      </w:r>
      <w:r>
        <w:t>s on these issues were</w:t>
      </w:r>
      <w:r w:rsidRPr="00A66088">
        <w:t xml:space="preserve"> received</w:t>
      </w:r>
      <w:r>
        <w:t>.</w:t>
      </w:r>
    </w:p>
    <w:p w14:paraId="58EFC61D" w14:textId="77777777" w:rsidR="0034765C" w:rsidRPr="00213F79" w:rsidRDefault="0034765C" w:rsidP="0034765C">
      <w:pPr>
        <w:ind w:left="709"/>
      </w:pPr>
    </w:p>
    <w:p w14:paraId="01903D9A" w14:textId="77777777" w:rsidR="0034765C" w:rsidRPr="00213F79" w:rsidRDefault="0034765C" w:rsidP="0034765C">
      <w:pPr>
        <w:pStyle w:val="Heading3"/>
      </w:pPr>
      <w:bookmarkStart w:id="229" w:name="_Toc396913589"/>
      <w:bookmarkStart w:id="230" w:name="_Toc397184209"/>
      <w:r w:rsidRPr="00213F79">
        <w:t>Unauthorised encampments</w:t>
      </w:r>
      <w:bookmarkEnd w:id="229"/>
      <w:bookmarkEnd w:id="230"/>
    </w:p>
    <w:p w14:paraId="1D19322E" w14:textId="77777777" w:rsidR="004D0FAA" w:rsidRDefault="0034765C" w:rsidP="004D0FAA">
      <w:pPr>
        <w:pStyle w:val="Reporttext"/>
      </w:pPr>
      <w:r w:rsidRPr="00213F79">
        <w:t xml:space="preserve">Several of the local authority respondents provided information on unauthorised encampments in their relevant area. </w:t>
      </w:r>
    </w:p>
    <w:p w14:paraId="42C3CF8B" w14:textId="775F4027" w:rsidR="004D0FAA" w:rsidRDefault="0034765C" w:rsidP="004D0FAA">
      <w:pPr>
        <w:pStyle w:val="Reporttext"/>
      </w:pPr>
      <w:r>
        <w:t xml:space="preserve">Stakeholders were asked how many unauthorised encampments they have in their area each year. A representative from Wiltshire Council noted that there were </w:t>
      </w:r>
      <w:r w:rsidRPr="0017434F">
        <w:t>2012: 64 encampments</w:t>
      </w:r>
      <w:r>
        <w:t xml:space="preserve"> in 2012</w:t>
      </w:r>
      <w:r w:rsidRPr="0017434F">
        <w:t xml:space="preserve">; </w:t>
      </w:r>
      <w:r>
        <w:t xml:space="preserve">60 encampments in </w:t>
      </w:r>
      <w:r w:rsidRPr="0017434F">
        <w:t>2013</w:t>
      </w:r>
      <w:r>
        <w:t>; 52 encampments in 2014; and</w:t>
      </w:r>
      <w:r w:rsidRPr="0017434F">
        <w:t xml:space="preserve"> 44</w:t>
      </w:r>
      <w:r>
        <w:t xml:space="preserve"> in 2015. A representative from Basingstoke and Deane noted that s</w:t>
      </w:r>
      <w:r w:rsidRPr="0017434F">
        <w:t>ince April 2016 there have been 158 unauthorised encampments within the borough of Basingstoke and Deane. In the financial year of 2016/17 there were 54 unauthorised encampments, in 2017/18 there were 90, and so far this financial year there have been 14.</w:t>
      </w:r>
      <w:r>
        <w:t xml:space="preserve"> A representative from South Oxfordshire stated that in January</w:t>
      </w:r>
      <w:r w:rsidRPr="0017434F">
        <w:t xml:space="preserve"> 201</w:t>
      </w:r>
      <w:r w:rsidR="005414FB">
        <w:t xml:space="preserve">5, </w:t>
      </w:r>
      <w:r>
        <w:t>there were</w:t>
      </w:r>
      <w:r w:rsidRPr="0017434F">
        <w:t xml:space="preserve"> 10 unauthorised </w:t>
      </w:r>
      <w:r w:rsidR="00B665FB" w:rsidRPr="0017434F">
        <w:t>encampments</w:t>
      </w:r>
      <w:r w:rsidR="00B665FB">
        <w:t>;</w:t>
      </w:r>
      <w:r w:rsidR="00B665FB" w:rsidRPr="0017434F">
        <w:t xml:space="preserve"> July</w:t>
      </w:r>
      <w:r>
        <w:t xml:space="preserve"> </w:t>
      </w:r>
      <w:r w:rsidRPr="0017434F">
        <w:t xml:space="preserve">2015 </w:t>
      </w:r>
      <w:r>
        <w:t>–</w:t>
      </w:r>
      <w:r w:rsidRPr="0017434F">
        <w:t xml:space="preserve"> 7 unauthorised </w:t>
      </w:r>
      <w:r w:rsidR="00B665FB" w:rsidRPr="0017434F">
        <w:t>encampments</w:t>
      </w:r>
      <w:r w:rsidR="00B665FB">
        <w:t>;</w:t>
      </w:r>
      <w:r w:rsidR="00B665FB" w:rsidRPr="0017434F">
        <w:t xml:space="preserve"> January</w:t>
      </w:r>
      <w:r>
        <w:t xml:space="preserve"> </w:t>
      </w:r>
      <w:r w:rsidRPr="0017434F">
        <w:t>201</w:t>
      </w:r>
      <w:r>
        <w:t>6</w:t>
      </w:r>
      <w:r w:rsidRPr="0017434F">
        <w:t xml:space="preserve"> </w:t>
      </w:r>
      <w:r>
        <w:t>–</w:t>
      </w:r>
      <w:r w:rsidRPr="0017434F">
        <w:t xml:space="preserve"> 7 unauthorised encampments</w:t>
      </w:r>
      <w:r>
        <w:t>;</w:t>
      </w:r>
      <w:r w:rsidRPr="0017434F">
        <w:t xml:space="preserve"> </w:t>
      </w:r>
      <w:r w:rsidR="00B665FB">
        <w:t xml:space="preserve">July </w:t>
      </w:r>
      <w:r w:rsidR="00B665FB" w:rsidRPr="0017434F">
        <w:t>2016</w:t>
      </w:r>
      <w:r>
        <w:t xml:space="preserve"> –</w:t>
      </w:r>
      <w:r w:rsidRPr="0017434F">
        <w:t xml:space="preserve"> 8 unauthorised encampments</w:t>
      </w:r>
      <w:r>
        <w:t xml:space="preserve">; </w:t>
      </w:r>
      <w:r w:rsidR="00B665FB">
        <w:t>January</w:t>
      </w:r>
      <w:r w:rsidR="00B665FB" w:rsidRPr="0017434F">
        <w:t xml:space="preserve"> 2017</w:t>
      </w:r>
      <w:r w:rsidRPr="0017434F">
        <w:t xml:space="preserve"> </w:t>
      </w:r>
      <w:r>
        <w:t>–</w:t>
      </w:r>
      <w:r w:rsidRPr="0017434F">
        <w:t xml:space="preserve"> 7</w:t>
      </w:r>
      <w:r>
        <w:t xml:space="preserve">; July </w:t>
      </w:r>
      <w:r w:rsidRPr="0017434F">
        <w:t>2017</w:t>
      </w:r>
      <w:r>
        <w:t xml:space="preserve"> –</w:t>
      </w:r>
      <w:r w:rsidRPr="0017434F">
        <w:t xml:space="preserve"> 8</w:t>
      </w:r>
      <w:r>
        <w:t xml:space="preserve">; January </w:t>
      </w:r>
      <w:r w:rsidRPr="0017434F">
        <w:t xml:space="preserve">2018 </w:t>
      </w:r>
      <w:r>
        <w:t>–</w:t>
      </w:r>
      <w:r w:rsidRPr="0017434F">
        <w:t xml:space="preserve"> 8</w:t>
      </w:r>
      <w:r>
        <w:t xml:space="preserve">. They also noted that in </w:t>
      </w:r>
      <w:r w:rsidRPr="0017434F">
        <w:t xml:space="preserve">Vale of White Horse </w:t>
      </w:r>
      <w:r>
        <w:t>figures show</w:t>
      </w:r>
      <w:r w:rsidRPr="0017434F">
        <w:t xml:space="preserve"> </w:t>
      </w:r>
      <w:r>
        <w:t>z</w:t>
      </w:r>
      <w:r w:rsidRPr="0017434F">
        <w:t xml:space="preserve">ero in all years except for </w:t>
      </w:r>
      <w:r>
        <w:t>January</w:t>
      </w:r>
      <w:r w:rsidRPr="0017434F">
        <w:t xml:space="preserve"> 2017 January</w:t>
      </w:r>
      <w:r>
        <w:t xml:space="preserve">, where there were </w:t>
      </w:r>
      <w:r w:rsidRPr="0017434F">
        <w:t>3 unauthorised encampments</w:t>
      </w:r>
      <w:r>
        <w:t xml:space="preserve">. A representative from Bracknell Forest gave us the following figures: </w:t>
      </w:r>
      <w:r w:rsidRPr="0018420E">
        <w:t xml:space="preserve">2014/15 </w:t>
      </w:r>
      <w:r>
        <w:t>–</w:t>
      </w:r>
      <w:r w:rsidRPr="0018420E">
        <w:t xml:space="preserve"> 8 encampments</w:t>
      </w:r>
      <w:r>
        <w:t>;</w:t>
      </w:r>
      <w:r w:rsidRPr="0018420E">
        <w:t xml:space="preserve"> 2015/16 </w:t>
      </w:r>
      <w:r>
        <w:t>–</w:t>
      </w:r>
      <w:r w:rsidRPr="0018420E">
        <w:t xml:space="preserve"> 7 encampments</w:t>
      </w:r>
      <w:r>
        <w:t>;</w:t>
      </w:r>
      <w:r w:rsidRPr="0018420E">
        <w:t xml:space="preserve"> 2016/17 </w:t>
      </w:r>
      <w:r>
        <w:t>–</w:t>
      </w:r>
      <w:r w:rsidRPr="0018420E">
        <w:t xml:space="preserve"> 33 encampments.</w:t>
      </w:r>
      <w:r>
        <w:t xml:space="preserve"> For Reading, the figures noted revealed 57 in </w:t>
      </w:r>
      <w:r w:rsidRPr="0018420E">
        <w:t>2014/15</w:t>
      </w:r>
      <w:r>
        <w:t xml:space="preserve">, 28 in </w:t>
      </w:r>
      <w:r w:rsidRPr="0018420E">
        <w:t>2015/16</w:t>
      </w:r>
      <w:r>
        <w:t xml:space="preserve"> and 87 in </w:t>
      </w:r>
      <w:r w:rsidRPr="0018420E">
        <w:t>2016/17</w:t>
      </w:r>
      <w:r>
        <w:t>. For West Berkshire, one stakeholder said that there were approximately</w:t>
      </w:r>
      <w:r w:rsidRPr="0018420E">
        <w:t xml:space="preserve"> 17 unauthorised encampments on council land, and the same on private land</w:t>
      </w:r>
      <w:r>
        <w:t xml:space="preserve"> in 2017. Broad </w:t>
      </w:r>
      <w:r w:rsidRPr="0018420E">
        <w:t xml:space="preserve">figures </w:t>
      </w:r>
      <w:r>
        <w:t>for Test Valley area were said to be</w:t>
      </w:r>
      <w:r w:rsidRPr="0018420E">
        <w:t xml:space="preserve"> approx</w:t>
      </w:r>
      <w:r>
        <w:t>imately</w:t>
      </w:r>
      <w:r w:rsidRPr="0018420E">
        <w:t xml:space="preserve"> </w:t>
      </w:r>
      <w:r w:rsidR="005414FB">
        <w:t>6</w:t>
      </w:r>
      <w:r w:rsidRPr="0018420E">
        <w:t xml:space="preserve"> unauthorised encampments per year</w:t>
      </w:r>
      <w:r>
        <w:t xml:space="preserve">. A representative from Wokingham gave a range of </w:t>
      </w:r>
      <w:r w:rsidRPr="0018420E">
        <w:t xml:space="preserve">between 15 and 29 encampments a year since 2013, but </w:t>
      </w:r>
      <w:r>
        <w:t xml:space="preserve">noted that </w:t>
      </w:r>
      <w:r w:rsidRPr="0018420E">
        <w:t>a good number of these are incidences of the same family moving to another site.</w:t>
      </w:r>
    </w:p>
    <w:p w14:paraId="2CAB180F" w14:textId="5CA1B5AF" w:rsidR="0034765C" w:rsidRDefault="0034765C" w:rsidP="00CF5F7C">
      <w:pPr>
        <w:pStyle w:val="Reporttext"/>
      </w:pPr>
      <w:r w:rsidRPr="00213F79">
        <w:t xml:space="preserve">Several respondents were aware of negative impacts arising from unauthorised encampment activity. This includes </w:t>
      </w:r>
      <w:r>
        <w:t xml:space="preserve">waste and fly-tipping </w:t>
      </w:r>
      <w:r w:rsidRPr="00213F79">
        <w:t xml:space="preserve">problems, </w:t>
      </w:r>
      <w:r>
        <w:t>trespass, public health risks, social nuisance, problems with the settled community, anti-social behaviour, enforcement costs and resources required, and disruption to public events. One stakeholder specifically stated that in South Oxfordshire there is not a problem as the small number of encampments are generally a result of Eastern Europeans who are employed in the area and living in caravans due to the high cost of housing.</w:t>
      </w:r>
    </w:p>
    <w:p w14:paraId="3AC6B32B" w14:textId="77777777" w:rsidR="0034765C" w:rsidRPr="00DC3FFB" w:rsidRDefault="0034765C" w:rsidP="0034765C">
      <w:pPr>
        <w:pStyle w:val="Reporttext"/>
        <w:numPr>
          <w:ilvl w:val="0"/>
          <w:numId w:val="0"/>
        </w:numPr>
        <w:ind w:left="709" w:hanging="709"/>
      </w:pPr>
    </w:p>
    <w:p w14:paraId="73D4498A" w14:textId="77777777" w:rsidR="0034765C" w:rsidRPr="001F7A89" w:rsidRDefault="0034765C" w:rsidP="0034765C">
      <w:pPr>
        <w:pStyle w:val="Heading2"/>
      </w:pPr>
      <w:bookmarkStart w:id="231" w:name="_Toc431293869"/>
      <w:bookmarkStart w:id="232" w:name="_Toc363369720"/>
      <w:bookmarkStart w:id="233" w:name="_Toc375313639"/>
      <w:bookmarkStart w:id="234" w:name="_Toc417995979"/>
      <w:bookmarkStart w:id="235" w:name="_Toc457575076"/>
      <w:bookmarkStart w:id="236" w:name="_Toc459646253"/>
      <w:bookmarkStart w:id="237" w:name="_Toc462827496"/>
      <w:bookmarkStart w:id="238" w:name="_Toc476940335"/>
      <w:bookmarkStart w:id="239" w:name="_Toc510091971"/>
      <w:bookmarkStart w:id="240" w:name="_Toc516229339"/>
      <w:bookmarkStart w:id="241" w:name="_Toc13845482"/>
      <w:r w:rsidRPr="001F7A89">
        <w:rPr>
          <w:rFonts w:cs="Arial"/>
        </w:rPr>
        <w:t>Planning policy</w:t>
      </w:r>
      <w:bookmarkEnd w:id="231"/>
      <w:bookmarkEnd w:id="232"/>
      <w:bookmarkEnd w:id="233"/>
      <w:bookmarkEnd w:id="234"/>
      <w:bookmarkEnd w:id="235"/>
      <w:bookmarkEnd w:id="236"/>
      <w:bookmarkEnd w:id="237"/>
      <w:bookmarkEnd w:id="238"/>
      <w:bookmarkEnd w:id="239"/>
      <w:bookmarkEnd w:id="240"/>
      <w:bookmarkEnd w:id="241"/>
    </w:p>
    <w:p w14:paraId="321639EE" w14:textId="77777777" w:rsidR="0034765C" w:rsidRDefault="0034765C" w:rsidP="00CF5F7C">
      <w:pPr>
        <w:pStyle w:val="Reporttext"/>
      </w:pPr>
      <w:r w:rsidRPr="001F7A89">
        <w:t>The survey asked stakeholders w</w:t>
      </w:r>
      <w:r w:rsidRPr="002C637B">
        <w:t xml:space="preserve">hat impact do </w:t>
      </w:r>
      <w:r>
        <w:t>they</w:t>
      </w:r>
      <w:r w:rsidRPr="002C637B">
        <w:t xml:space="preserve"> think that the Government’s August 2015 changes to planning policy 'Planning Policy for traveller sites' PPTS will have on future provision</w:t>
      </w:r>
      <w:r>
        <w:t>. Stakeholders commented:</w:t>
      </w:r>
    </w:p>
    <w:p w14:paraId="19B9309C" w14:textId="06FA3B58" w:rsidR="0034765C" w:rsidRDefault="0034765C" w:rsidP="00CF5F7C">
      <w:pPr>
        <w:pStyle w:val="Reporttext"/>
        <w:numPr>
          <w:ilvl w:val="0"/>
          <w:numId w:val="27"/>
        </w:numPr>
        <w:tabs>
          <w:tab w:val="clear" w:pos="709"/>
        </w:tabs>
        <w:ind w:left="1134"/>
      </w:pPr>
      <w:r w:rsidRPr="00CE2AF3">
        <w:t xml:space="preserve">The change in definition may lead to reluctance amongst </w:t>
      </w:r>
      <w:r>
        <w:t>T</w:t>
      </w:r>
      <w:r w:rsidRPr="00CE2AF3">
        <w:t>ravellers to be interviewed as they fear that their accommodation need may not be acknowledged because they ceased to travel permanently. This is a difficult issue as case law established for example that traveller status can be held in abeyance. GTAAs may be challenged because they ov</w:t>
      </w:r>
      <w:r w:rsidR="005414FB">
        <w:t xml:space="preserve">er </w:t>
      </w:r>
      <w:r w:rsidRPr="00CE2AF3">
        <w:t>or underestimate need depending on who is objecting</w:t>
      </w:r>
      <w:r>
        <w:t>;</w:t>
      </w:r>
    </w:p>
    <w:p w14:paraId="708A9FA5" w14:textId="77777777" w:rsidR="0034765C" w:rsidRDefault="0034765C" w:rsidP="00CF5F7C">
      <w:pPr>
        <w:pStyle w:val="Reporttext"/>
        <w:numPr>
          <w:ilvl w:val="0"/>
          <w:numId w:val="27"/>
        </w:numPr>
        <w:tabs>
          <w:tab w:val="clear" w:pos="709"/>
        </w:tabs>
        <w:ind w:left="1134"/>
      </w:pPr>
      <w:r w:rsidRPr="00CE2AF3">
        <w:t xml:space="preserve">For Vale of White Horse District Council, the official 'need' figure has significantly dropped as a result of the new guidance and definition.  A key issue with the new definition is where we have been unable to speak with existing </w:t>
      </w:r>
      <w:r>
        <w:t>G</w:t>
      </w:r>
      <w:r w:rsidRPr="00CE2AF3">
        <w:t>ypsies/</w:t>
      </w:r>
      <w:r>
        <w:t>T</w:t>
      </w:r>
      <w:r w:rsidRPr="00CE2AF3">
        <w:t>ravellers/</w:t>
      </w:r>
      <w:r>
        <w:t>T</w:t>
      </w:r>
      <w:r w:rsidRPr="00CE2AF3">
        <w:t xml:space="preserve">ravelling </w:t>
      </w:r>
      <w:r>
        <w:t>S</w:t>
      </w:r>
      <w:r w:rsidRPr="00CE2AF3">
        <w:t>howpeople, we therefore do not know if they meet the new definition. Also, despite there being a new planning definition, the rights of all gypsies/travellers/travelling showpeople is also an equality matter, and irrespective of whether they meet the updated 'planning definition', their particular needs should be catered for.  Therefore it is essential to have a policy that can assist with this, even if there is a need to identify/allocate less sites/pitches within the Local Plan</w:t>
      </w:r>
      <w:r>
        <w:t>;</w:t>
      </w:r>
    </w:p>
    <w:p w14:paraId="111B6804" w14:textId="77777777" w:rsidR="0034765C" w:rsidRDefault="0034765C" w:rsidP="00CF5F7C">
      <w:pPr>
        <w:pStyle w:val="Reporttext"/>
        <w:numPr>
          <w:ilvl w:val="0"/>
          <w:numId w:val="27"/>
        </w:numPr>
        <w:tabs>
          <w:tab w:val="clear" w:pos="709"/>
        </w:tabs>
        <w:ind w:left="1134"/>
      </w:pPr>
      <w:r w:rsidRPr="00CE2AF3">
        <w:t>The new definition creates a methodological issue, namely how to establish the level of need for travellers where it is not clear whether or not they meet the definition set out in PPTS</w:t>
      </w:r>
      <w:r>
        <w:t>;</w:t>
      </w:r>
    </w:p>
    <w:p w14:paraId="63722AA8" w14:textId="77777777" w:rsidR="0034765C" w:rsidRDefault="0034765C" w:rsidP="00CF5F7C">
      <w:pPr>
        <w:pStyle w:val="Reporttext"/>
        <w:numPr>
          <w:ilvl w:val="0"/>
          <w:numId w:val="27"/>
        </w:numPr>
        <w:tabs>
          <w:tab w:val="clear" w:pos="709"/>
        </w:tabs>
        <w:ind w:left="1134"/>
      </w:pPr>
      <w:r w:rsidRPr="00CE2AF3">
        <w:t>The PPTS is likely to make it harder for travelling people to purchase their own sites in places where they are likely to gain planning permission.  Since sites are now expected to avoid the open countryside in addition to land within Green Belts and AONB, it is likely that sites will be more expensive as there will now be more direct competition with sites suitable for house building.  The requirement for local authorities to identify a 5-year supply of sites should help to ensure that sites that are in suitable locations are not refused permission</w:t>
      </w:r>
      <w:r>
        <w:t>;</w:t>
      </w:r>
    </w:p>
    <w:p w14:paraId="2DDB5AA1" w14:textId="16F8F6FD" w:rsidR="0034765C" w:rsidRDefault="0034765C" w:rsidP="00CF5F7C">
      <w:pPr>
        <w:pStyle w:val="Reporttext"/>
        <w:numPr>
          <w:ilvl w:val="0"/>
          <w:numId w:val="27"/>
        </w:numPr>
        <w:tabs>
          <w:tab w:val="clear" w:pos="709"/>
        </w:tabs>
        <w:ind w:left="1134"/>
      </w:pPr>
      <w:r w:rsidRPr="00CE2AF3">
        <w:t xml:space="preserve">The definition change creates increased uncertainty for decision makers. LPAs on the one hand have a duty to comply with the PPTS and maintain a 5 year land supply of pitches for Travellers who specifically meet the PPTS definition, but </w:t>
      </w:r>
      <w:r>
        <w:t>c</w:t>
      </w:r>
      <w:r w:rsidRPr="00CE2AF3">
        <w:t xml:space="preserve">ouncils also have a housing duty to provide accommodation for those who have a cultural need to live in caravans. I think increased planning by appeal will result (and probably has resulted) with authorities being able to claim healthier land supply positions to justify refusing applications based on the reduced number of Travellers meeting the definition, but it's unclear how the needs of non PPTS </w:t>
      </w:r>
      <w:r w:rsidR="005414FB">
        <w:t>T</w:t>
      </w:r>
      <w:r w:rsidRPr="00CE2AF3">
        <w:t>ravellers are actually accounted for in general housing land supply calculations.  Ultimately, the changes do not facilitate provision of additional pitches which is far less of a government concern than the supply of houses. Probably a bigger issue created by the changes</w:t>
      </w:r>
      <w:r w:rsidR="005414FB">
        <w:t>,</w:t>
      </w:r>
      <w:r w:rsidRPr="00CE2AF3">
        <w:t xml:space="preserve"> is how LPAs manage sites and approach planning enforcement with regard to the change of definition. It is very difficult to work out practically, on a particular site, who does and who does not satisfy the PPTS definition and therefore to determine who may be in breach of a particular occupancy condition as drafted. </w:t>
      </w:r>
    </w:p>
    <w:p w14:paraId="5330A608" w14:textId="77777777" w:rsidR="0034765C" w:rsidRDefault="0034765C" w:rsidP="00CF5F7C">
      <w:pPr>
        <w:pStyle w:val="Reporttext"/>
      </w:pPr>
      <w:r>
        <w:t>Stakeholders were also asked what impact, if any, do they think the Housing and Planning Act 2016 will have. Stakeholders commented:</w:t>
      </w:r>
    </w:p>
    <w:p w14:paraId="0C5E6F0E" w14:textId="47112B19" w:rsidR="0034765C" w:rsidRDefault="0034765C" w:rsidP="00CF5F7C">
      <w:pPr>
        <w:pStyle w:val="Reporttext"/>
        <w:numPr>
          <w:ilvl w:val="0"/>
          <w:numId w:val="28"/>
        </w:numPr>
        <w:tabs>
          <w:tab w:val="clear" w:pos="709"/>
        </w:tabs>
        <w:ind w:left="1134"/>
      </w:pPr>
      <w:r w:rsidRPr="009028F8">
        <w:t>The Act requires local authorities to also assess the accommodation need of people residing in houseboats which is a new requirement and may result in a need to plan for residential moorings. The Kennet and Avon Canal runs through West Berkshire (and Wiltshire) and there will be a need to assess boater's accommodation needs</w:t>
      </w:r>
      <w:r>
        <w:t>;</w:t>
      </w:r>
    </w:p>
    <w:p w14:paraId="1DD72003" w14:textId="77777777" w:rsidR="0034765C" w:rsidRDefault="0034765C" w:rsidP="00CF5F7C">
      <w:pPr>
        <w:pStyle w:val="Reporttext"/>
        <w:numPr>
          <w:ilvl w:val="0"/>
          <w:numId w:val="28"/>
        </w:numPr>
        <w:tabs>
          <w:tab w:val="clear" w:pos="709"/>
        </w:tabs>
        <w:ind w:left="1134"/>
      </w:pPr>
      <w:r w:rsidRPr="009028F8">
        <w:t>The Housing and Planning Act has implications for the process of making the need</w:t>
      </w:r>
      <w:r>
        <w:t>s</w:t>
      </w:r>
      <w:r w:rsidRPr="009028F8">
        <w:t xml:space="preserve"> assessment, but the practical implications may be limited, as the need still has to be established, and it is likely to be done in a broadly similar manner to how it was previously done, though with some extra dimensions</w:t>
      </w:r>
      <w:r>
        <w:t>;</w:t>
      </w:r>
    </w:p>
    <w:p w14:paraId="60F3E835" w14:textId="78AF3419" w:rsidR="0034765C" w:rsidRDefault="0034765C" w:rsidP="00CF5F7C">
      <w:pPr>
        <w:pStyle w:val="Reporttext"/>
        <w:numPr>
          <w:ilvl w:val="0"/>
          <w:numId w:val="28"/>
        </w:numPr>
        <w:tabs>
          <w:tab w:val="clear" w:pos="709"/>
        </w:tabs>
        <w:ind w:left="1134"/>
      </w:pPr>
      <w:r w:rsidRPr="009028F8">
        <w:t>Updates to Strategic Housing Market Assessments will need to take into</w:t>
      </w:r>
      <w:r>
        <w:t xml:space="preserve"> account</w:t>
      </w:r>
      <w:r w:rsidRPr="009028F8">
        <w:t xml:space="preserve"> the accommodation needs of Gypsies, Travellers and Travelling Showpeople as a distinct group to be planned for</w:t>
      </w:r>
      <w:r w:rsidR="009230BE">
        <w:t>,</w:t>
      </w:r>
      <w:r w:rsidRPr="009028F8">
        <w:t xml:space="preserve"> to ensure that planning authorities continue to meet the needs of all groups as required by the NPPF</w:t>
      </w:r>
      <w:r>
        <w:t>;</w:t>
      </w:r>
    </w:p>
    <w:p w14:paraId="08202049" w14:textId="77777777" w:rsidR="0034765C" w:rsidRDefault="0034765C" w:rsidP="00CF5F7C">
      <w:pPr>
        <w:pStyle w:val="Reporttext"/>
        <w:numPr>
          <w:ilvl w:val="0"/>
          <w:numId w:val="28"/>
        </w:numPr>
        <w:tabs>
          <w:tab w:val="clear" w:pos="709"/>
        </w:tabs>
        <w:ind w:left="1134"/>
      </w:pPr>
      <w:r w:rsidRPr="008A7CF2">
        <w:t>Limited impact</w:t>
      </w:r>
      <w:r w:rsidRPr="009028F8">
        <w:t xml:space="preserve"> as the PPTS still requires assessments of need even though this has been removed from legislation. I’d anticipate that most authorities will continue to commission needs assessments, in many cases based on the possibility of reduced need due to the PPTS definitional change</w:t>
      </w:r>
      <w:r>
        <w:t>;</w:t>
      </w:r>
    </w:p>
    <w:p w14:paraId="53833AA1" w14:textId="77777777" w:rsidR="0034765C" w:rsidRDefault="0034765C" w:rsidP="00CF5F7C">
      <w:pPr>
        <w:pStyle w:val="Reporttext"/>
        <w:numPr>
          <w:ilvl w:val="0"/>
          <w:numId w:val="28"/>
        </w:numPr>
        <w:tabs>
          <w:tab w:val="clear" w:pos="709"/>
        </w:tabs>
        <w:ind w:left="1134"/>
      </w:pPr>
      <w:r w:rsidRPr="008A7CF2">
        <w:t>Limited impact</w:t>
      </w:r>
      <w:r w:rsidRPr="009028F8">
        <w:t xml:space="preserve"> compared to the changes that occurred through the 2015 updated guidance and definition.</w:t>
      </w:r>
    </w:p>
    <w:p w14:paraId="6C6D0F79" w14:textId="77777777" w:rsidR="0034765C" w:rsidRPr="00811739" w:rsidRDefault="0034765C" w:rsidP="0034765C">
      <w:pPr>
        <w:pStyle w:val="Reporttext"/>
        <w:numPr>
          <w:ilvl w:val="0"/>
          <w:numId w:val="0"/>
        </w:numPr>
        <w:tabs>
          <w:tab w:val="clear" w:pos="709"/>
        </w:tabs>
      </w:pPr>
      <w:bookmarkStart w:id="242" w:name="_Toc431293870"/>
      <w:bookmarkStart w:id="243" w:name="_Toc375313640"/>
      <w:bookmarkStart w:id="244" w:name="_Toc417995980"/>
      <w:bookmarkStart w:id="245" w:name="_Toc457575077"/>
      <w:bookmarkStart w:id="246" w:name="_Toc459646254"/>
      <w:bookmarkStart w:id="247" w:name="_Toc462827497"/>
      <w:bookmarkStart w:id="248" w:name="_Toc476940336"/>
    </w:p>
    <w:p w14:paraId="2EF77EC2" w14:textId="77777777" w:rsidR="0034765C" w:rsidRPr="00811739" w:rsidRDefault="0034765C" w:rsidP="0034765C">
      <w:pPr>
        <w:pStyle w:val="Heading2"/>
        <w:rPr>
          <w:rFonts w:cs="Arial"/>
        </w:rPr>
      </w:pPr>
      <w:bookmarkStart w:id="249" w:name="_Toc510091972"/>
      <w:bookmarkStart w:id="250" w:name="_Toc516229340"/>
      <w:bookmarkStart w:id="251" w:name="_Toc13845483"/>
      <w:r w:rsidRPr="00811739">
        <w:rPr>
          <w:rFonts w:cs="Arial"/>
        </w:rPr>
        <w:t>Cross-boundary issues</w:t>
      </w:r>
      <w:bookmarkEnd w:id="242"/>
      <w:bookmarkEnd w:id="243"/>
      <w:bookmarkEnd w:id="244"/>
      <w:bookmarkEnd w:id="245"/>
      <w:bookmarkEnd w:id="246"/>
      <w:bookmarkEnd w:id="247"/>
      <w:bookmarkEnd w:id="248"/>
      <w:bookmarkEnd w:id="249"/>
      <w:bookmarkEnd w:id="250"/>
      <w:bookmarkEnd w:id="251"/>
    </w:p>
    <w:p w14:paraId="13CB9620" w14:textId="77777777" w:rsidR="004D0FAA" w:rsidRDefault="0034765C" w:rsidP="004D0FAA">
      <w:pPr>
        <w:pStyle w:val="Reporttext"/>
      </w:pPr>
      <w:r w:rsidRPr="00811739">
        <w:t xml:space="preserve">In terms of the movement of Gypsies, Travellers and Travelling Showpeople within </w:t>
      </w:r>
      <w:r>
        <w:t>West Berkshire</w:t>
      </w:r>
      <w:r w:rsidRPr="00811739">
        <w:t xml:space="preserve"> and to/from neighbouring areas, </w:t>
      </w:r>
      <w:r>
        <w:t>some</w:t>
      </w:r>
      <w:r w:rsidRPr="00811739">
        <w:t xml:space="preserve"> stakeholders were not aware of any regular movements. </w:t>
      </w:r>
      <w:r>
        <w:t>Others noted regular movements on certain routes including the M4 and the A34.</w:t>
      </w:r>
    </w:p>
    <w:p w14:paraId="699EFC3D" w14:textId="77777777" w:rsidR="004D0FAA" w:rsidRDefault="0034765C" w:rsidP="004D0FAA">
      <w:pPr>
        <w:pStyle w:val="Reporttext"/>
      </w:pPr>
      <w:r w:rsidRPr="00811739">
        <w:t xml:space="preserve">Stakeholders were also asked if they are aware of any sites or locations close to the boundary of the study area where difficulties have </w:t>
      </w:r>
      <w:r>
        <w:t xml:space="preserve">or may arise. Several stakeholders reported ‘yes’, whilst a few more reported ‘no’. One of those who said ‘yes’, noted that the difficulties that arose were due to anti-social behaviour. </w:t>
      </w:r>
    </w:p>
    <w:p w14:paraId="702C3B14" w14:textId="77777777" w:rsidR="004D0FAA" w:rsidRDefault="0034765C" w:rsidP="004D0FAA">
      <w:pPr>
        <w:pStyle w:val="Reporttext"/>
      </w:pPr>
      <w:r w:rsidRPr="001756D4">
        <w:t xml:space="preserve">In terms of cross-boundary issues, </w:t>
      </w:r>
      <w:r>
        <w:t>one stakeholder referenced the Wiltshire 2014 GTAA which stated that</w:t>
      </w:r>
      <w:r w:rsidRPr="00935C09">
        <w:t xml:space="preserve"> the officers representing Gloucestershire, South Gloucestershire, South Somerset and West Berkshire felt that there was no need to work with Wiltshire as there were no sites or cross border movement in the area.</w:t>
      </w:r>
      <w:r>
        <w:t xml:space="preserve"> Another stakeholder referenced </w:t>
      </w:r>
      <w:r w:rsidRPr="0038698E">
        <w:t>the Bracknell Forest GTAA 2017</w:t>
      </w:r>
      <w:r>
        <w:t xml:space="preserve"> which </w:t>
      </w:r>
      <w:r w:rsidRPr="0038698E">
        <w:t>recommended that the Council considers the provision of transit pitches as part of a strategic cross-boundary response to unauthorised encampment activity.</w:t>
      </w:r>
    </w:p>
    <w:p w14:paraId="72CBFFCC" w14:textId="77777777" w:rsidR="004D0FAA" w:rsidRDefault="0034765C" w:rsidP="004D0FAA">
      <w:pPr>
        <w:pStyle w:val="Reporttext"/>
      </w:pPr>
      <w:r>
        <w:t>One stakeholder stated that c</w:t>
      </w:r>
      <w:r w:rsidRPr="0038698E">
        <w:t>onsideration of whether the provision of a network of transit sites/emergency stopping places within the wider regional context would be beneficial for travelling communities.</w:t>
      </w:r>
      <w:r>
        <w:t xml:space="preserve"> Another stakeholder mentioned the</w:t>
      </w:r>
      <w:r w:rsidRPr="0038698E">
        <w:t xml:space="preserve"> Four Houses Corner </w:t>
      </w:r>
      <w:r>
        <w:t xml:space="preserve">site which </w:t>
      </w:r>
      <w:r w:rsidRPr="0038698E">
        <w:t>ha</w:t>
      </w:r>
      <w:r>
        <w:t>d</w:t>
      </w:r>
      <w:r w:rsidRPr="0038698E">
        <w:t xml:space="preserve"> been mentioned by appellants at an appeal </w:t>
      </w:r>
      <w:r>
        <w:t>i</w:t>
      </w:r>
      <w:r w:rsidRPr="0038698E">
        <w:t xml:space="preserve">nquiry within Wokingham borough in Spring 2018. </w:t>
      </w:r>
      <w:r>
        <w:t>T</w:t>
      </w:r>
      <w:r w:rsidRPr="0038698E">
        <w:t xml:space="preserve">here may be issues of need arising from temporary closures here </w:t>
      </w:r>
      <w:r>
        <w:t xml:space="preserve">due to renovation work </w:t>
      </w:r>
      <w:r w:rsidRPr="0038698E">
        <w:t xml:space="preserve">which </w:t>
      </w:r>
      <w:r>
        <w:t xml:space="preserve">the </w:t>
      </w:r>
      <w:r w:rsidRPr="0038698E">
        <w:t>C</w:t>
      </w:r>
      <w:r>
        <w:t>ouncil</w:t>
      </w:r>
      <w:r w:rsidRPr="0038698E">
        <w:t xml:space="preserve"> would be keen to know about, and it appears that there are misconceptions about this work amongst the GRT community.</w:t>
      </w:r>
    </w:p>
    <w:p w14:paraId="214EF649" w14:textId="77777777" w:rsidR="004D0FAA" w:rsidRDefault="0034765C" w:rsidP="004D0FAA">
      <w:pPr>
        <w:pStyle w:val="Reporttext"/>
      </w:pPr>
      <w:r>
        <w:t>In relation to both West Berkshire and Basingstoke and Deane, one stakeholder noted that t</w:t>
      </w:r>
      <w:r w:rsidRPr="00935C09">
        <w:t xml:space="preserve">he Atomic Weapons Establishment (AWE) </w:t>
      </w:r>
      <w:r>
        <w:t>is</w:t>
      </w:r>
      <w:r w:rsidRPr="00935C09">
        <w:t xml:space="preserve"> a cross-boundary issue which can have an impact on planning matters in </w:t>
      </w:r>
      <w:r>
        <w:t xml:space="preserve">these areas. </w:t>
      </w:r>
      <w:r w:rsidRPr="00935C09">
        <w:t>For example, this may affect the scope of where new sites could be located because of health and safety issues and the need to comply with regulations.</w:t>
      </w:r>
      <w:r>
        <w:t xml:space="preserve"> They also went onto note that</w:t>
      </w:r>
      <w:r w:rsidRPr="00935C09">
        <w:t xml:space="preserve"> </w:t>
      </w:r>
      <w:r>
        <w:t>i</w:t>
      </w:r>
      <w:r w:rsidRPr="00935C09">
        <w:t xml:space="preserve">n relation to planning matters, there are no joint working partnerships specifically for Gypsies, Travellers and Travelling Showpeople between </w:t>
      </w:r>
      <w:r>
        <w:t xml:space="preserve">West </w:t>
      </w:r>
      <w:r w:rsidRPr="00935C09">
        <w:t>Berkshire and Oxfordshire</w:t>
      </w:r>
      <w:r>
        <w:t>,</w:t>
      </w:r>
      <w:r w:rsidRPr="00935C09">
        <w:t xml:space="preserve"> although under the duty to cooperate meetings, should issues arise they can and are discussed with neighbouring authorities.</w:t>
      </w:r>
      <w:r>
        <w:t xml:space="preserve"> </w:t>
      </w:r>
      <w:r w:rsidRPr="00935C09">
        <w:t xml:space="preserve">Vale of White Horse District Council is </w:t>
      </w:r>
      <w:r>
        <w:t xml:space="preserve">instead </w:t>
      </w:r>
      <w:r w:rsidRPr="00935C09">
        <w:t>seeking to meet its own needs in full and therefore not looking to neighbouring authorities to take some of its need through the duty to cooperate.</w:t>
      </w:r>
      <w:r>
        <w:t xml:space="preserve"> Again, in relation to Basingstoke and Deane, one stakeholder reported that t</w:t>
      </w:r>
      <w:r w:rsidRPr="00935C09">
        <w:t xml:space="preserve">here have been instances where planning applications have been submitted on the basis that they are seeking to accommodate </w:t>
      </w:r>
      <w:r>
        <w:t>G</w:t>
      </w:r>
      <w:r w:rsidRPr="00935C09">
        <w:t xml:space="preserve">ypsies and </w:t>
      </w:r>
      <w:r>
        <w:t>T</w:t>
      </w:r>
      <w:r w:rsidRPr="00935C09">
        <w:t>ravellers who assert that they are being removed from permanent pitches in West Berks</w:t>
      </w:r>
      <w:r>
        <w:t>hire</w:t>
      </w:r>
      <w:r w:rsidRPr="00935C09">
        <w:t xml:space="preserve"> or are seeking to relocate from sites in West </w:t>
      </w:r>
      <w:r>
        <w:t>Berkshire.</w:t>
      </w:r>
      <w:r w:rsidRPr="00935C09">
        <w:t xml:space="preserve"> </w:t>
      </w:r>
      <w:r>
        <w:t>They then said that, a</w:t>
      </w:r>
      <w:r w:rsidRPr="00935C09">
        <w:t>s such</w:t>
      </w:r>
      <w:r>
        <w:t>,</w:t>
      </w:r>
      <w:r w:rsidRPr="00935C09">
        <w:t xml:space="preserve"> it may be advisable to consider the relationship between West Berks and Basingstoke and Deane in terms of accommodation needs.</w:t>
      </w:r>
    </w:p>
    <w:p w14:paraId="54427B11" w14:textId="147D2DB3" w:rsidR="0034765C" w:rsidRDefault="0034765C" w:rsidP="00CF5F7C">
      <w:pPr>
        <w:pStyle w:val="Reporttext"/>
      </w:pPr>
      <w:r>
        <w:t>Stakeholders were asked what they see as the key issues affecting Gypsy, Traveller and Travelling Showpeople in the West Berkshire area. Issues identified included:</w:t>
      </w:r>
    </w:p>
    <w:p w14:paraId="157818C4" w14:textId="77777777" w:rsidR="0034765C" w:rsidRDefault="0034765C" w:rsidP="00CF5F7C">
      <w:pPr>
        <w:pStyle w:val="Reporttext"/>
        <w:numPr>
          <w:ilvl w:val="0"/>
          <w:numId w:val="29"/>
        </w:numPr>
        <w:tabs>
          <w:tab w:val="clear" w:pos="709"/>
        </w:tabs>
        <w:ind w:left="1134"/>
      </w:pPr>
      <w:r>
        <w:t>A</w:t>
      </w:r>
      <w:r w:rsidRPr="0038698E">
        <w:t xml:space="preserve">vailability </w:t>
      </w:r>
      <w:r>
        <w:t>of suitable, sustainable sites;</w:t>
      </w:r>
    </w:p>
    <w:p w14:paraId="3B5AC5A9" w14:textId="77777777" w:rsidR="0034765C" w:rsidRDefault="0034765C" w:rsidP="00CF5F7C">
      <w:pPr>
        <w:pStyle w:val="Reporttext"/>
        <w:numPr>
          <w:ilvl w:val="0"/>
          <w:numId w:val="29"/>
        </w:numPr>
        <w:tabs>
          <w:tab w:val="clear" w:pos="709"/>
        </w:tabs>
        <w:ind w:left="1134"/>
      </w:pPr>
      <w:r w:rsidRPr="0038698E">
        <w:t>Increasing the number of pitches locally and nationally is vital to improve traveller health and education which is well below the average in the UK</w:t>
      </w:r>
      <w:r>
        <w:t>;</w:t>
      </w:r>
    </w:p>
    <w:p w14:paraId="245DAF8D" w14:textId="332251B4" w:rsidR="0034765C" w:rsidRDefault="0034765C" w:rsidP="00CF5F7C">
      <w:pPr>
        <w:pStyle w:val="Reporttext"/>
        <w:numPr>
          <w:ilvl w:val="0"/>
          <w:numId w:val="29"/>
        </w:numPr>
        <w:tabs>
          <w:tab w:val="clear" w:pos="709"/>
        </w:tabs>
        <w:ind w:left="1134"/>
      </w:pPr>
      <w:r>
        <w:t>Disruption to children’s education is forced to move away – this was particularly emphasised in relation to t</w:t>
      </w:r>
      <w:r w:rsidRPr="0038698E">
        <w:t xml:space="preserve">he re-development of </w:t>
      </w:r>
      <w:r w:rsidR="006E5440">
        <w:t>Four</w:t>
      </w:r>
      <w:r w:rsidRPr="0038698E">
        <w:t xml:space="preserve"> House Corner</w:t>
      </w:r>
      <w:r>
        <w:t>;</w:t>
      </w:r>
    </w:p>
    <w:p w14:paraId="39246ED1" w14:textId="77777777" w:rsidR="0034765C" w:rsidRDefault="0034765C" w:rsidP="00CF5F7C">
      <w:pPr>
        <w:pStyle w:val="Reporttext"/>
        <w:numPr>
          <w:ilvl w:val="0"/>
          <w:numId w:val="29"/>
        </w:numPr>
        <w:tabs>
          <w:tab w:val="clear" w:pos="709"/>
        </w:tabs>
        <w:ind w:left="1134"/>
      </w:pPr>
      <w:r w:rsidRPr="0038698E">
        <w:t xml:space="preserve">The allocation and provision of adequately numbered and sized plots </w:t>
      </w:r>
      <w:r>
        <w:t>to</w:t>
      </w:r>
      <w:r w:rsidRPr="0038698E">
        <w:t xml:space="preserve"> serve the </w:t>
      </w:r>
      <w:r>
        <w:t>T</w:t>
      </w:r>
      <w:r w:rsidRPr="0038698E">
        <w:t xml:space="preserve">ravelling </w:t>
      </w:r>
      <w:r>
        <w:t>S</w:t>
      </w:r>
      <w:r w:rsidRPr="0038698E">
        <w:t>howpeople demands, at Long Copse Farm, remains the key issue facing these people in the area.</w:t>
      </w:r>
    </w:p>
    <w:p w14:paraId="45BC236A" w14:textId="77777777" w:rsidR="0034765C" w:rsidRPr="007D2DEF" w:rsidRDefault="0034765C" w:rsidP="00CF5F7C">
      <w:pPr>
        <w:pStyle w:val="Reporttext"/>
      </w:pPr>
      <w:r w:rsidRPr="007D2DEF">
        <w:t xml:space="preserve">Overall, stakeholders considered that the key </w:t>
      </w:r>
      <w:r>
        <w:t>strategic messages</w:t>
      </w:r>
      <w:r w:rsidRPr="007D2DEF">
        <w:t xml:space="preserve"> of the </w:t>
      </w:r>
      <w:r>
        <w:t xml:space="preserve">GTAA </w:t>
      </w:r>
      <w:r w:rsidRPr="007D2DEF">
        <w:t>study should be:</w:t>
      </w:r>
    </w:p>
    <w:p w14:paraId="5DA76B07" w14:textId="77777777" w:rsidR="0034765C" w:rsidRDefault="0034765C" w:rsidP="0034765C">
      <w:pPr>
        <w:pStyle w:val="bullet"/>
      </w:pPr>
      <w:r w:rsidRPr="0038698E">
        <w:t>The individual accommodation needs of this group should be properly assessed and provided for</w:t>
      </w:r>
      <w:r>
        <w:t xml:space="preserve"> – </w:t>
      </w:r>
      <w:r w:rsidRPr="0038698E">
        <w:t>needs of the GRT community</w:t>
      </w:r>
      <w:r>
        <w:t xml:space="preserve"> should be reflected from their </w:t>
      </w:r>
      <w:r w:rsidRPr="0038698E">
        <w:t>direct contribut</w:t>
      </w:r>
      <w:r>
        <w:t>ion;</w:t>
      </w:r>
    </w:p>
    <w:p w14:paraId="7AC1DD5B" w14:textId="77777777" w:rsidR="0034765C" w:rsidRDefault="0034765C" w:rsidP="0034765C">
      <w:pPr>
        <w:pStyle w:val="bullet"/>
      </w:pPr>
      <w:r w:rsidRPr="0038698E">
        <w:t>To set out a clear and robust assessment of any need, including requirements for any transit pitches as part of a strategic cross-boundary solution if applicable</w:t>
      </w:r>
      <w:r>
        <w:t>;</w:t>
      </w:r>
    </w:p>
    <w:p w14:paraId="7A55E8E3" w14:textId="5B6F64D9" w:rsidR="0034765C" w:rsidRDefault="0034765C" w:rsidP="0034765C">
      <w:pPr>
        <w:pStyle w:val="bullet"/>
      </w:pPr>
      <w:r w:rsidRPr="0038698E">
        <w:t>Any information gathered on cross boundary movements would be helpful. A deeper understanding of the need picture across the whole of Berkshire</w:t>
      </w:r>
      <w:r w:rsidR="00891C67">
        <w:t>,</w:t>
      </w:r>
      <w:r w:rsidRPr="0038698E">
        <w:t xml:space="preserve"> to assist in duty to cooperate discussions around plan making moving forward</w:t>
      </w:r>
      <w:r w:rsidR="00891C67">
        <w:t>,</w:t>
      </w:r>
      <w:r w:rsidRPr="0038698E">
        <w:t xml:space="preserve"> would be a very useful message to glean from the study</w:t>
      </w:r>
      <w:r>
        <w:t>;</w:t>
      </w:r>
    </w:p>
    <w:p w14:paraId="4CD43DFB" w14:textId="77777777" w:rsidR="0034765C" w:rsidRDefault="0034765C" w:rsidP="0034765C">
      <w:pPr>
        <w:pStyle w:val="bullet"/>
      </w:pPr>
      <w:r>
        <w:t>W</w:t>
      </w:r>
      <w:r w:rsidRPr="0038698E">
        <w:t>orking together to meet the needs identified in the GTAA</w:t>
      </w:r>
      <w:r>
        <w:t xml:space="preserve"> study;</w:t>
      </w:r>
    </w:p>
    <w:p w14:paraId="055AA738" w14:textId="77777777" w:rsidR="0034765C" w:rsidRPr="00E343BD" w:rsidRDefault="0034765C" w:rsidP="0034765C">
      <w:pPr>
        <w:pStyle w:val="bullet"/>
      </w:pPr>
      <w:r w:rsidRPr="0038698E">
        <w:t xml:space="preserve">The provision of suitably sited and adequately sized plots for </w:t>
      </w:r>
      <w:r>
        <w:t>T</w:t>
      </w:r>
      <w:r w:rsidRPr="0038698E">
        <w:t xml:space="preserve">ravelling </w:t>
      </w:r>
      <w:r>
        <w:t>S</w:t>
      </w:r>
      <w:r w:rsidRPr="0038698E">
        <w:t>howpeople must continue to be a key objective of current and future development plans in West Berkshire and influence planning applications seeking such provision</w:t>
      </w:r>
      <w:r>
        <w:t>.</w:t>
      </w:r>
    </w:p>
    <w:p w14:paraId="01CDCB71" w14:textId="77777777" w:rsidR="0034765C" w:rsidRPr="000D2102" w:rsidRDefault="0034765C" w:rsidP="00CF5F7C">
      <w:pPr>
        <w:pStyle w:val="Reporttext"/>
      </w:pPr>
      <w:r w:rsidRPr="000D2102">
        <w:t>Stakeholders were asked if they agree that the stakeholder survey contributes to the requirement under the Duty to Cooperate with neighbouring authorities. There was limited response</w:t>
      </w:r>
      <w:r>
        <w:t xml:space="preserve"> to this question</w:t>
      </w:r>
      <w:r w:rsidRPr="000D2102">
        <w:t xml:space="preserve">, but the vast majority of </w:t>
      </w:r>
      <w:r>
        <w:t>responses</w:t>
      </w:r>
      <w:r w:rsidRPr="000D2102">
        <w:t xml:space="preserve"> were positive agreement that the consultation contributes in the Duty to Cooperate. </w:t>
      </w:r>
    </w:p>
    <w:p w14:paraId="4F025516" w14:textId="77777777" w:rsidR="0034765C" w:rsidRPr="008357AE" w:rsidRDefault="0034765C" w:rsidP="0034765C">
      <w:pPr>
        <w:pStyle w:val="Reporttext"/>
        <w:numPr>
          <w:ilvl w:val="0"/>
          <w:numId w:val="0"/>
        </w:numPr>
      </w:pPr>
    </w:p>
    <w:p w14:paraId="0BC85496" w14:textId="58554032" w:rsidR="00CD5890" w:rsidRDefault="00CD5890">
      <w:pPr>
        <w:spacing w:before="0" w:after="0"/>
        <w:jc w:val="left"/>
        <w:rPr>
          <w:highlight w:val="yellow"/>
        </w:rPr>
      </w:pPr>
      <w:r>
        <w:rPr>
          <w:highlight w:val="yellow"/>
        </w:rPr>
        <w:br w:type="page"/>
      </w:r>
    </w:p>
    <w:p w14:paraId="58C02B62" w14:textId="293B6F10" w:rsidR="003E42B1" w:rsidRPr="00A146AE" w:rsidRDefault="007525B2" w:rsidP="0014458C">
      <w:pPr>
        <w:pStyle w:val="Heading1"/>
      </w:pPr>
      <w:bookmarkStart w:id="252" w:name="_Toc13845484"/>
      <w:r w:rsidRPr="00A146AE">
        <w:t>Gypsy and Traveller pitch, Travelling Showperson plot</w:t>
      </w:r>
      <w:r w:rsidR="00FA5945">
        <w:t xml:space="preserve">, </w:t>
      </w:r>
      <w:r w:rsidRPr="00A146AE">
        <w:t>transit site requirements</w:t>
      </w:r>
      <w:bookmarkEnd w:id="187"/>
      <w:bookmarkEnd w:id="188"/>
      <w:bookmarkEnd w:id="189"/>
      <w:bookmarkEnd w:id="190"/>
      <w:bookmarkEnd w:id="191"/>
      <w:bookmarkEnd w:id="192"/>
      <w:r w:rsidRPr="00A146AE">
        <w:t xml:space="preserve"> </w:t>
      </w:r>
      <w:bookmarkStart w:id="253" w:name="_Toc495087333"/>
      <w:bookmarkStart w:id="254" w:name="_Toc510091974"/>
      <w:bookmarkStart w:id="255" w:name="_Toc457575078"/>
      <w:bookmarkStart w:id="256" w:name="_Toc375313645"/>
      <w:bookmarkStart w:id="257" w:name="_Toc342576230"/>
      <w:bookmarkStart w:id="258" w:name="_Toc417995981"/>
      <w:bookmarkStart w:id="259" w:name="_Toc459646255"/>
      <w:r w:rsidR="00FA5945">
        <w:t>and houseboat need</w:t>
      </w:r>
      <w:bookmarkEnd w:id="252"/>
    </w:p>
    <w:p w14:paraId="3BF8B4B0" w14:textId="1F61C813" w:rsidR="003E42B1" w:rsidRPr="00A146AE" w:rsidRDefault="003E42B1" w:rsidP="003E42B1">
      <w:pPr>
        <w:pStyle w:val="Heading2"/>
      </w:pPr>
      <w:bookmarkStart w:id="260" w:name="_Toc372188589"/>
      <w:bookmarkStart w:id="261" w:name="_Toc513761816"/>
      <w:bookmarkStart w:id="262" w:name="_Toc13845485"/>
      <w:r w:rsidRPr="00A146AE">
        <w:t>Introduction</w:t>
      </w:r>
      <w:bookmarkEnd w:id="260"/>
      <w:bookmarkEnd w:id="261"/>
      <w:bookmarkEnd w:id="262"/>
    </w:p>
    <w:p w14:paraId="4F38A7D1" w14:textId="405C2D5B" w:rsidR="003E42B1" w:rsidRPr="00A146AE" w:rsidRDefault="003E42B1" w:rsidP="0014458C">
      <w:pPr>
        <w:pStyle w:val="Reporttext"/>
      </w:pPr>
      <w:r w:rsidRPr="00A146AE">
        <w:t xml:space="preserve">This section reviews the overall pitch requirements of Gypsies and Travellers across </w:t>
      </w:r>
      <w:r w:rsidR="00EE6DA0" w:rsidRPr="00A146AE">
        <w:t>West Berkshire</w:t>
      </w:r>
      <w:r w:rsidRPr="00A146AE">
        <w:t xml:space="preserve"> District. It takes into account current supply and need, as well as future need, based on modelling of data, as advocated by the DCLG. This chapter also considers transit pitch requirements for Gypsies and Travellers. Finally, it presents planning policy recommendations. </w:t>
      </w:r>
    </w:p>
    <w:p w14:paraId="4B8ADBA2" w14:textId="77777777" w:rsidR="003E42B1" w:rsidRPr="00A146AE" w:rsidRDefault="003E42B1" w:rsidP="0014458C">
      <w:pPr>
        <w:pStyle w:val="Reporttext"/>
      </w:pPr>
      <w:r w:rsidRPr="00A146AE">
        <w:t xml:space="preserve">The calculation of pitch requirements is based on DCLG modelling as advocated in </w:t>
      </w:r>
      <w:r w:rsidRPr="0014458C">
        <w:rPr>
          <w:i/>
        </w:rPr>
        <w:t>Gypsy and Traveller Accommodation Assessment Guidance</w:t>
      </w:r>
      <w:r w:rsidRPr="00A146AE">
        <w:t xml:space="preserve"> (DCLG, 2007). Although now formally withdrawn, the DCLG Guidance still provides the best-practice approach towards the assessment of pitch and plot needs (see chapter 2 for further discussion).</w:t>
      </w:r>
    </w:p>
    <w:p w14:paraId="2918C678" w14:textId="77777777" w:rsidR="003E42B1" w:rsidRPr="00A146AE" w:rsidRDefault="003E42B1" w:rsidP="0014458C">
      <w:pPr>
        <w:pStyle w:val="Reporttext"/>
      </w:pPr>
      <w:r w:rsidRPr="00A146AE">
        <w:t>This approach requires an assessment of the current needs of Gypsies and Travellers and a projection of future needs. It advocates the use of a survey to supplement secondary source information and derive key supply and demand information.</w:t>
      </w:r>
    </w:p>
    <w:p w14:paraId="3682C3A9" w14:textId="77777777" w:rsidR="003E42B1" w:rsidRPr="00A146AE" w:rsidRDefault="003E42B1" w:rsidP="0014458C">
      <w:pPr>
        <w:pStyle w:val="Reporttext"/>
      </w:pPr>
      <w:r w:rsidRPr="00A146AE">
        <w:t>Modelling has been based on a cultural definition of Gypsies and Travellers but also takes account of the PPTS planning definition as an element of the modelling.</w:t>
      </w:r>
    </w:p>
    <w:p w14:paraId="5198EA9B" w14:textId="77777777" w:rsidR="003E42B1" w:rsidRPr="00ED573B" w:rsidRDefault="003E42B1" w:rsidP="003E42B1">
      <w:pPr>
        <w:tabs>
          <w:tab w:val="left" w:pos="709"/>
        </w:tabs>
        <w:ind w:left="709"/>
        <w:rPr>
          <w:sz w:val="20"/>
          <w:highlight w:val="red"/>
        </w:rPr>
      </w:pPr>
    </w:p>
    <w:p w14:paraId="726D2FB2" w14:textId="77777777" w:rsidR="003E42B1" w:rsidRPr="00A146AE" w:rsidRDefault="003E42B1" w:rsidP="003E42B1">
      <w:pPr>
        <w:pStyle w:val="Heading2"/>
      </w:pPr>
      <w:bookmarkStart w:id="263" w:name="_Toc513761817"/>
      <w:bookmarkStart w:id="264" w:name="_Toc13845486"/>
      <w:r w:rsidRPr="00A146AE">
        <w:t>Pitch requirement model overview</w:t>
      </w:r>
      <w:bookmarkEnd w:id="263"/>
      <w:bookmarkEnd w:id="264"/>
    </w:p>
    <w:p w14:paraId="61CBB560" w14:textId="77777777" w:rsidR="003E42B1" w:rsidRPr="00A146AE" w:rsidRDefault="003E42B1" w:rsidP="0014458C">
      <w:pPr>
        <w:pStyle w:val="Reporttext"/>
      </w:pPr>
      <w:r w:rsidRPr="00A146AE">
        <w:t>Pitch requirements are assessed over an initial five-year period (2018/19 to 2022/23) (the 5-year model) and then longer-term need is based on the expected number of households likely to form over the remainder of the Plan Period (2023/24 to 2035/36) based on the age profile of children under 13 living in Gypsy and Traveller households on pitches (the longer-term model). The modelling is based on the cultural need for pitches but the impact of the PPTS definition on need is also considered.</w:t>
      </w:r>
    </w:p>
    <w:p w14:paraId="5EFA0B80" w14:textId="77777777" w:rsidR="003E42B1" w:rsidRPr="00A146AE" w:rsidRDefault="003E42B1" w:rsidP="0014458C">
      <w:pPr>
        <w:pStyle w:val="Reporttext"/>
      </w:pPr>
      <w:r w:rsidRPr="00A146AE">
        <w:t xml:space="preserve">In terms of </w:t>
      </w:r>
      <w:r w:rsidRPr="0014458C">
        <w:rPr>
          <w:b/>
        </w:rPr>
        <w:t>cultural need</w:t>
      </w:r>
      <w:r w:rsidRPr="00A146AE">
        <w:t xml:space="preserve">, the 5-year model considers: </w:t>
      </w:r>
    </w:p>
    <w:p w14:paraId="39980F5B" w14:textId="5D4DD486" w:rsidR="003E42B1" w:rsidRPr="00A146AE" w:rsidRDefault="003E42B1" w:rsidP="003E42B1">
      <w:pPr>
        <w:pStyle w:val="bullet"/>
        <w:rPr>
          <w:lang w:eastAsia="en-GB"/>
        </w:rPr>
      </w:pPr>
      <w:r w:rsidRPr="00A146AE">
        <w:rPr>
          <w:lang w:eastAsia="en-GB"/>
        </w:rPr>
        <w:t xml:space="preserve">The baseline number of households on all types of site (authorised, unauthorised and temporary authorised sites) as at </w:t>
      </w:r>
      <w:r w:rsidR="00747925">
        <w:rPr>
          <w:lang w:eastAsia="en-GB"/>
        </w:rPr>
        <w:t>February 2019</w:t>
      </w:r>
      <w:r w:rsidRPr="00A146AE">
        <w:rPr>
          <w:lang w:eastAsia="en-GB"/>
        </w:rPr>
        <w:t xml:space="preserve">; </w:t>
      </w:r>
    </w:p>
    <w:p w14:paraId="1991F871" w14:textId="77777777" w:rsidR="003E42B1" w:rsidRPr="00A146AE" w:rsidRDefault="003E42B1" w:rsidP="003E42B1">
      <w:pPr>
        <w:pStyle w:val="bullet"/>
        <w:rPr>
          <w:lang w:eastAsia="en-GB"/>
        </w:rPr>
      </w:pPr>
      <w:r w:rsidRPr="00A146AE">
        <w:rPr>
          <w:lang w:eastAsia="en-GB"/>
        </w:rPr>
        <w:t>Existing households planning to move in the next five years (currently on sites and also from bricks and mortar and where they are planning to move to; and</w:t>
      </w:r>
    </w:p>
    <w:p w14:paraId="0FF4CD7D" w14:textId="77777777" w:rsidR="003E42B1" w:rsidRPr="00A146AE" w:rsidRDefault="003E42B1" w:rsidP="003E42B1">
      <w:pPr>
        <w:pStyle w:val="bullet"/>
        <w:rPr>
          <w:lang w:eastAsia="en-GB"/>
        </w:rPr>
      </w:pPr>
      <w:r w:rsidRPr="00A146AE">
        <w:rPr>
          <w:lang w:eastAsia="en-GB"/>
        </w:rPr>
        <w:t>Emerging households currently on sites and planning to emerge in the next five years and stay within the study area on a pitch; to derive a figure for</w:t>
      </w:r>
    </w:p>
    <w:p w14:paraId="3D7BDDFF" w14:textId="77777777" w:rsidR="003E42B1" w:rsidRPr="00A146AE" w:rsidRDefault="003E42B1" w:rsidP="003E42B1">
      <w:pPr>
        <w:pStyle w:val="bullet"/>
        <w:rPr>
          <w:lang w:eastAsia="en-GB"/>
        </w:rPr>
      </w:pPr>
      <w:r w:rsidRPr="00A146AE">
        <w:rPr>
          <w:lang w:eastAsia="en-GB"/>
        </w:rPr>
        <w:t>Total pitch need.</w:t>
      </w:r>
    </w:p>
    <w:p w14:paraId="54005235" w14:textId="77777777" w:rsidR="003E42B1" w:rsidRPr="00A146AE" w:rsidRDefault="003E42B1" w:rsidP="0014458C">
      <w:pPr>
        <w:pStyle w:val="Reporttext"/>
      </w:pPr>
      <w:r w:rsidRPr="00A146AE">
        <w:t xml:space="preserve">In terms of </w:t>
      </w:r>
      <w:r w:rsidRPr="0014458C">
        <w:rPr>
          <w:b/>
        </w:rPr>
        <w:t>supply</w:t>
      </w:r>
      <w:r w:rsidRPr="00A146AE">
        <w:t>, the model considers:</w:t>
      </w:r>
    </w:p>
    <w:p w14:paraId="2B5E9B8A" w14:textId="77777777" w:rsidR="003E42B1" w:rsidRPr="00A146AE" w:rsidRDefault="003E42B1" w:rsidP="003E42B1">
      <w:pPr>
        <w:pStyle w:val="bullet"/>
        <w:rPr>
          <w:lang w:eastAsia="en-GB"/>
        </w:rPr>
      </w:pPr>
      <w:r w:rsidRPr="00A146AE">
        <w:rPr>
          <w:lang w:eastAsia="en-GB"/>
        </w:rPr>
        <w:t xml:space="preserve">Total supply of current pitches on authorised sites; and </w:t>
      </w:r>
    </w:p>
    <w:p w14:paraId="6781C044" w14:textId="77777777" w:rsidR="003E42B1" w:rsidRPr="00A146AE" w:rsidRDefault="003E42B1" w:rsidP="003E42B1">
      <w:pPr>
        <w:pStyle w:val="bullet"/>
        <w:rPr>
          <w:lang w:eastAsia="en-GB"/>
        </w:rPr>
      </w:pPr>
      <w:r w:rsidRPr="00A146AE">
        <w:rPr>
          <w:lang w:eastAsia="en-GB"/>
        </w:rPr>
        <w:t>Vacant pitches on authorised sites</w:t>
      </w:r>
    </w:p>
    <w:p w14:paraId="77B9E750" w14:textId="77777777" w:rsidR="003E42B1" w:rsidRPr="00A146AE" w:rsidRDefault="003E42B1" w:rsidP="0014458C">
      <w:pPr>
        <w:pStyle w:val="Reporttext"/>
      </w:pPr>
      <w:r w:rsidRPr="00A146AE">
        <w:t>The model then reconciles total need and existing authorised supply over the next 5 years by summarising:</w:t>
      </w:r>
    </w:p>
    <w:p w14:paraId="31EBD682" w14:textId="77777777" w:rsidR="003E42B1" w:rsidRPr="00A146AE" w:rsidRDefault="003E42B1" w:rsidP="003E42B1">
      <w:pPr>
        <w:pStyle w:val="bullet"/>
        <w:rPr>
          <w:lang w:eastAsia="en-GB"/>
        </w:rPr>
      </w:pPr>
      <w:r w:rsidRPr="00A146AE">
        <w:rPr>
          <w:lang w:eastAsia="en-GB"/>
        </w:rPr>
        <w:t>Total need for pitches; and</w:t>
      </w:r>
    </w:p>
    <w:p w14:paraId="3F91092D" w14:textId="77777777" w:rsidR="003E42B1" w:rsidRPr="00A146AE" w:rsidRDefault="003E42B1" w:rsidP="003E42B1">
      <w:pPr>
        <w:pStyle w:val="bullet"/>
        <w:rPr>
          <w:lang w:eastAsia="en-GB"/>
        </w:rPr>
      </w:pPr>
      <w:r w:rsidRPr="00A146AE">
        <w:rPr>
          <w:lang w:eastAsia="en-GB"/>
        </w:rPr>
        <w:t>Total supply of authorised pitches.</w:t>
      </w:r>
    </w:p>
    <w:p w14:paraId="3A19D5EB" w14:textId="77777777" w:rsidR="003E42B1" w:rsidRPr="00A146AE" w:rsidRDefault="003E42B1" w:rsidP="0014458C">
      <w:pPr>
        <w:pStyle w:val="Reporttext"/>
      </w:pPr>
      <w:r w:rsidRPr="00A146AE">
        <w:t>The longer-term element of the model then considers the cultural need over the remainder of the Plan Period (to 2036).</w:t>
      </w:r>
    </w:p>
    <w:p w14:paraId="0C3078A8" w14:textId="77777777" w:rsidR="003E42B1" w:rsidRPr="00A146AE" w:rsidRDefault="003E42B1" w:rsidP="003E42B1"/>
    <w:p w14:paraId="3A91882B" w14:textId="77777777" w:rsidR="003E42B1" w:rsidRPr="00A146AE" w:rsidRDefault="003E42B1" w:rsidP="003E42B1">
      <w:pPr>
        <w:pStyle w:val="Heading2"/>
      </w:pPr>
      <w:bookmarkStart w:id="265" w:name="_Toc513761818"/>
      <w:bookmarkStart w:id="266" w:name="_Toc13845487"/>
      <w:r w:rsidRPr="00A146AE">
        <w:t>Description of factors in the 5-year need model</w:t>
      </w:r>
      <w:bookmarkEnd w:id="265"/>
      <w:bookmarkEnd w:id="266"/>
    </w:p>
    <w:p w14:paraId="7C21A9DE" w14:textId="354BC182" w:rsidR="003E42B1" w:rsidRDefault="003E42B1" w:rsidP="0014458C">
      <w:pPr>
        <w:pStyle w:val="Reporttext"/>
      </w:pPr>
      <w:r w:rsidRPr="00A146AE">
        <w:t xml:space="preserve">Table </w:t>
      </w:r>
      <w:r w:rsidR="00787125">
        <w:t>7</w:t>
      </w:r>
      <w:r w:rsidRPr="00A146AE">
        <w:t>.1 provides a summary of the 5-year pitch need calculation. Each component in the model is now discussed to ensure that the process is transparent and any assumptions clearly stated.</w:t>
      </w:r>
    </w:p>
    <w:p w14:paraId="44421873" w14:textId="55783F72" w:rsidR="006E07A3" w:rsidRPr="00A146AE" w:rsidRDefault="006E07A3" w:rsidP="0014458C">
      <w:pPr>
        <w:pStyle w:val="Reporttext"/>
      </w:pPr>
      <w:r>
        <w:t>Data ha</w:t>
      </w:r>
      <w:r w:rsidR="00891C67">
        <w:t>ve</w:t>
      </w:r>
      <w:r>
        <w:t xml:space="preserve"> been weighted to take account of non-response households</w:t>
      </w:r>
      <w:r w:rsidR="002D6298">
        <w:t xml:space="preserve"> (from Paices Hill)</w:t>
      </w:r>
      <w:r>
        <w:t xml:space="preserve">. The weighting factor </w:t>
      </w:r>
      <w:r w:rsidR="00747925">
        <w:t xml:space="preserve">is </w:t>
      </w:r>
      <w:r>
        <w:t>1.</w:t>
      </w:r>
      <w:r w:rsidR="00747925">
        <w:t>44</w:t>
      </w:r>
      <w:r w:rsidR="00747925">
        <w:rPr>
          <w:rStyle w:val="FootnoteReference"/>
        </w:rPr>
        <w:footnoteReference w:id="24"/>
      </w:r>
      <w:r>
        <w:t xml:space="preserve"> </w:t>
      </w:r>
    </w:p>
    <w:p w14:paraId="327E9818" w14:textId="77777777" w:rsidR="003E42B1" w:rsidRPr="00A146AE" w:rsidRDefault="003E42B1" w:rsidP="003E42B1"/>
    <w:p w14:paraId="3D9DA0AB" w14:textId="77777777" w:rsidR="003E42B1" w:rsidRPr="00A146AE" w:rsidRDefault="003E42B1" w:rsidP="003E42B1">
      <w:pPr>
        <w:pStyle w:val="Heading3"/>
      </w:pPr>
      <w:r w:rsidRPr="00A146AE">
        <w:t xml:space="preserve">Need </w:t>
      </w:r>
    </w:p>
    <w:p w14:paraId="632992B1" w14:textId="77777777" w:rsidR="003E42B1" w:rsidRPr="00A146AE" w:rsidRDefault="003E42B1" w:rsidP="003E6544">
      <w:pPr>
        <w:pStyle w:val="Heading4"/>
      </w:pPr>
      <w:r w:rsidRPr="00A146AE">
        <w:t>Current households living on pitches (1a to 1e)</w:t>
      </w:r>
    </w:p>
    <w:p w14:paraId="2E04F320" w14:textId="49C5413F" w:rsidR="006E07A3" w:rsidRDefault="003E42B1" w:rsidP="0014458C">
      <w:pPr>
        <w:pStyle w:val="Reporttext"/>
      </w:pPr>
      <w:r w:rsidRPr="00A146AE">
        <w:t xml:space="preserve">These figures are derived from local authority data, site observation, and the local knowledge of Council officers. In total, there are </w:t>
      </w:r>
      <w:r w:rsidR="006E07A3">
        <w:t>3</w:t>
      </w:r>
      <w:r w:rsidR="008C1A72">
        <w:t>6</w:t>
      </w:r>
      <w:r w:rsidR="006E07A3">
        <w:t xml:space="preserve"> </w:t>
      </w:r>
      <w:r w:rsidRPr="00A146AE">
        <w:t xml:space="preserve">pitches across </w:t>
      </w:r>
      <w:r w:rsidR="00EE6DA0" w:rsidRPr="00A146AE">
        <w:t>West Berkshire</w:t>
      </w:r>
      <w:r w:rsidRPr="00A146AE">
        <w:t>.</w:t>
      </w:r>
      <w:r w:rsidR="006E07A3">
        <w:t xml:space="preserve"> </w:t>
      </w:r>
      <w:r w:rsidR="008C1A72">
        <w:t>There are 9 pitches currently unavailable on the Council Site due to ongoing refurbishment works and these are included as part of the overall supply of pitches. E</w:t>
      </w:r>
      <w:r w:rsidR="006E07A3">
        <w:t xml:space="preserve">ach </w:t>
      </w:r>
      <w:r w:rsidR="008C1A72">
        <w:t xml:space="preserve">occupied </w:t>
      </w:r>
      <w:r w:rsidR="006E07A3">
        <w:t xml:space="preserve">pitch is occupied by one household unit. </w:t>
      </w:r>
      <w:r w:rsidRPr="00A146AE">
        <w:t xml:space="preserve"> </w:t>
      </w:r>
    </w:p>
    <w:p w14:paraId="5AEC5289" w14:textId="77777777" w:rsidR="003E6544" w:rsidRDefault="003E6544" w:rsidP="003E6544">
      <w:pPr>
        <w:pStyle w:val="Reporttext"/>
        <w:numPr>
          <w:ilvl w:val="0"/>
          <w:numId w:val="0"/>
        </w:numPr>
        <w:ind w:left="709"/>
      </w:pPr>
    </w:p>
    <w:p w14:paraId="6464CBF8" w14:textId="1D38FB14" w:rsidR="003E42B1" w:rsidRPr="006E07A3" w:rsidRDefault="003E42B1" w:rsidP="003E6544">
      <w:pPr>
        <w:pStyle w:val="Heading4"/>
      </w:pPr>
      <w:r w:rsidRPr="006E07A3">
        <w:t>Current households in bricks and mortar accommodation (2)</w:t>
      </w:r>
    </w:p>
    <w:p w14:paraId="09F1E208" w14:textId="37273161" w:rsidR="003E42B1" w:rsidRPr="003E6544" w:rsidRDefault="003E42B1" w:rsidP="0014458C">
      <w:pPr>
        <w:pStyle w:val="Reporttext"/>
        <w:rPr>
          <w:color w:val="FF0000"/>
        </w:rPr>
      </w:pPr>
      <w:r w:rsidRPr="006E07A3">
        <w:t xml:space="preserve">The 2011 Census suggested there were </w:t>
      </w:r>
      <w:r w:rsidR="002D6298">
        <w:t>44</w:t>
      </w:r>
      <w:r w:rsidRPr="006E07A3">
        <w:t xml:space="preserve"> households living in bricks and mortar accommodation. </w:t>
      </w:r>
    </w:p>
    <w:p w14:paraId="759E2762" w14:textId="77777777" w:rsidR="003E6544" w:rsidRPr="0014458C" w:rsidRDefault="003E6544" w:rsidP="003E6544">
      <w:pPr>
        <w:pStyle w:val="Reporttext"/>
        <w:numPr>
          <w:ilvl w:val="0"/>
          <w:numId w:val="0"/>
        </w:numPr>
        <w:ind w:left="709"/>
        <w:rPr>
          <w:color w:val="FF0000"/>
        </w:rPr>
      </w:pPr>
    </w:p>
    <w:p w14:paraId="1F7906D4" w14:textId="77777777" w:rsidR="003E42B1" w:rsidRPr="006E07A3" w:rsidRDefault="003E42B1" w:rsidP="003E6544">
      <w:pPr>
        <w:pStyle w:val="Heading4"/>
      </w:pPr>
      <w:r w:rsidRPr="006E07A3">
        <w:t>Existing households planning to move in the next five years (3)</w:t>
      </w:r>
    </w:p>
    <w:p w14:paraId="0107B628" w14:textId="116DBC3B" w:rsidR="003E42B1" w:rsidRDefault="003E42B1" w:rsidP="0014458C">
      <w:pPr>
        <w:pStyle w:val="Reporttext"/>
      </w:pPr>
      <w:r w:rsidRPr="006E07A3">
        <w:t xml:space="preserve">This was derived from household survey information, information from households living in Council pitches and the housing register. </w:t>
      </w:r>
      <w:r w:rsidR="008C1A72">
        <w:t>Due to non-response from some households on the Paices Hill Site, data have been weighted</w:t>
      </w:r>
      <w:r w:rsidRPr="006E07A3">
        <w:t xml:space="preserve">. </w:t>
      </w:r>
    </w:p>
    <w:p w14:paraId="39DACFB8" w14:textId="5E35B8A9" w:rsidR="008C1A72" w:rsidRDefault="008C1A72" w:rsidP="0014458C">
      <w:pPr>
        <w:pStyle w:val="Reporttext"/>
      </w:pPr>
      <w:r>
        <w:t xml:space="preserve">Of existing households currently living on sites, </w:t>
      </w:r>
      <w:r w:rsidR="00AF21FD">
        <w:t>7.4 (weighted)</w:t>
      </w:r>
      <w:r>
        <w:t xml:space="preserve"> intended on moving in the next 5 years</w:t>
      </w:r>
      <w:r w:rsidR="00AF21FD">
        <w:t xml:space="preserve">, either to another site in the district or to a site/bricks and mortar outside the district. </w:t>
      </w:r>
    </w:p>
    <w:p w14:paraId="20F82F4C" w14:textId="13A29D58" w:rsidR="006E07A3" w:rsidRDefault="003E42B1" w:rsidP="0014458C">
      <w:pPr>
        <w:pStyle w:val="Reporttext"/>
      </w:pPr>
      <w:r w:rsidRPr="006E07A3">
        <w:t>An allowance has been made in the model for households moving from bricks and mortar housing onto a pitch. On the basis of 41 arc</w:t>
      </w:r>
      <w:r w:rsidRPr="0014458C">
        <w:rPr>
          <w:vertAlign w:val="superscript"/>
        </w:rPr>
        <w:t>4</w:t>
      </w:r>
      <w:r w:rsidRPr="006E07A3">
        <w:t xml:space="preserve"> studies, it is estimated that 5.3% of households living in bricks and mortar would prefer to live on a site which would equate to </w:t>
      </w:r>
      <w:r w:rsidR="002D6298">
        <w:t>2</w:t>
      </w:r>
      <w:r w:rsidRPr="006E07A3">
        <w:t xml:space="preserve"> households. </w:t>
      </w:r>
    </w:p>
    <w:p w14:paraId="1767EB56" w14:textId="0126C991" w:rsidR="006E07A3" w:rsidRPr="00A146AE" w:rsidRDefault="006E07A3" w:rsidP="0014458C">
      <w:pPr>
        <w:pStyle w:val="Reporttext"/>
      </w:pPr>
      <w:r w:rsidRPr="00A146AE">
        <w:t xml:space="preserve">In addition, </w:t>
      </w:r>
      <w:r>
        <w:t xml:space="preserve">4 households were identified who have been decanted off the Four Houses Corner site but want to return </w:t>
      </w:r>
      <w:r w:rsidRPr="00A146AE">
        <w:t xml:space="preserve">– </w:t>
      </w:r>
      <w:r w:rsidR="00891C67">
        <w:t>(</w:t>
      </w:r>
      <w:r w:rsidRPr="00A146AE">
        <w:t xml:space="preserve">these are considered in section 4 of the model). </w:t>
      </w:r>
    </w:p>
    <w:p w14:paraId="003FBEF5" w14:textId="36BEAEF7" w:rsidR="003E42B1" w:rsidRPr="006E07A3" w:rsidRDefault="006E07A3" w:rsidP="0014458C">
      <w:pPr>
        <w:pStyle w:val="Reporttext"/>
      </w:pPr>
      <w:r>
        <w:tab/>
      </w:r>
      <w:r w:rsidR="003E42B1" w:rsidRPr="006E07A3">
        <w:t xml:space="preserve">A need from </w:t>
      </w:r>
      <w:r w:rsidR="002D6298">
        <w:t>6</w:t>
      </w:r>
      <w:r>
        <w:t xml:space="preserve"> households i</w:t>
      </w:r>
      <w:r w:rsidR="003E42B1" w:rsidRPr="006E07A3">
        <w:t>s therefore included within the modelling at row 3e.</w:t>
      </w:r>
    </w:p>
    <w:p w14:paraId="288D71F1" w14:textId="03E4D8C3" w:rsidR="003E42B1" w:rsidRPr="006E07A3" w:rsidRDefault="003E42B1" w:rsidP="0014458C">
      <w:pPr>
        <w:pStyle w:val="Reporttext"/>
      </w:pPr>
      <w:r w:rsidRPr="006E07A3">
        <w:t>An allowance is also made for in-migration</w:t>
      </w:r>
      <w:r w:rsidR="00AF21FD">
        <w:t xml:space="preserve">. A total of 12 (weighted) </w:t>
      </w:r>
      <w:r w:rsidR="006E07A3">
        <w:t>households had lived on their pitch for less than 5</w:t>
      </w:r>
      <w:r w:rsidR="00AF21FD">
        <w:t xml:space="preserve"> years. </w:t>
      </w:r>
      <w:r w:rsidR="006E07A3">
        <w:t>T</w:t>
      </w:r>
      <w:r w:rsidRPr="006E07A3">
        <w:t xml:space="preserve">his is included in analysis at row 3g. </w:t>
      </w:r>
    </w:p>
    <w:p w14:paraId="5558FDD6" w14:textId="738EE166" w:rsidR="003E42B1" w:rsidRPr="006E07A3" w:rsidRDefault="003E42B1" w:rsidP="0014458C">
      <w:pPr>
        <w:pStyle w:val="Reporttext"/>
      </w:pPr>
      <w:r w:rsidRPr="006E07A3">
        <w:t>Modelling indicates an overall net requirement of +</w:t>
      </w:r>
      <w:r w:rsidR="00AF21FD">
        <w:t>16</w:t>
      </w:r>
      <w:r w:rsidRPr="006E07A3">
        <w:t xml:space="preserve"> pitches from existing households planning to move in the next 5 years. </w:t>
      </w:r>
    </w:p>
    <w:p w14:paraId="72C7B0D1" w14:textId="77777777" w:rsidR="00787125" w:rsidRDefault="00787125" w:rsidP="00CD5890"/>
    <w:p w14:paraId="520ECBB4" w14:textId="2E7FAAC9" w:rsidR="003E42B1" w:rsidRPr="006E07A3" w:rsidRDefault="003E42B1" w:rsidP="003E6544">
      <w:pPr>
        <w:pStyle w:val="Heading4"/>
      </w:pPr>
      <w:r w:rsidRPr="006E07A3">
        <w:t>Emerging households (4)</w:t>
      </w:r>
    </w:p>
    <w:p w14:paraId="0DF7B6A6" w14:textId="66DC5A43" w:rsidR="0069773E" w:rsidRDefault="003E42B1" w:rsidP="0014458C">
      <w:pPr>
        <w:pStyle w:val="Reporttext"/>
      </w:pPr>
      <w:r w:rsidRPr="006E07A3">
        <w:t xml:space="preserve">A total of </w:t>
      </w:r>
      <w:r w:rsidR="00AF21FD">
        <w:t>1</w:t>
      </w:r>
      <w:r w:rsidR="00787125">
        <w:t>0</w:t>
      </w:r>
      <w:r w:rsidRPr="006E07A3">
        <w:t xml:space="preserve"> households </w:t>
      </w:r>
      <w:r w:rsidR="00AF21FD">
        <w:t xml:space="preserve">(weighted) </w:t>
      </w:r>
      <w:r w:rsidRPr="006E07A3">
        <w:t>are expected to emerge in the next 5 years based on household survey information</w:t>
      </w:r>
      <w:r w:rsidR="0069773E">
        <w:t xml:space="preserve"> </w:t>
      </w:r>
      <w:r w:rsidR="00AF21FD">
        <w:t>This</w:t>
      </w:r>
      <w:r w:rsidR="0069773E">
        <w:t xml:space="preserve"> reflects the demographic profile of residents living on </w:t>
      </w:r>
      <w:r w:rsidR="00AF21FD">
        <w:t xml:space="preserve">all authorised and unauthorised </w:t>
      </w:r>
      <w:r w:rsidR="0069773E">
        <w:t xml:space="preserve">sites. </w:t>
      </w:r>
    </w:p>
    <w:p w14:paraId="3D4C2C99" w14:textId="77777777" w:rsidR="003E6544" w:rsidRDefault="003E6544" w:rsidP="003E6544">
      <w:pPr>
        <w:pStyle w:val="Reporttext"/>
        <w:numPr>
          <w:ilvl w:val="0"/>
          <w:numId w:val="0"/>
        </w:numPr>
        <w:ind w:left="709"/>
      </w:pPr>
    </w:p>
    <w:p w14:paraId="29AADF6E" w14:textId="25D025F0" w:rsidR="003E42B1" w:rsidRPr="006E07A3" w:rsidRDefault="003E42B1" w:rsidP="003E6544">
      <w:pPr>
        <w:pStyle w:val="Heading4"/>
      </w:pPr>
      <w:r w:rsidRPr="006E07A3">
        <w:t>Total need for pitches (5)</w:t>
      </w:r>
    </w:p>
    <w:p w14:paraId="1B4A4638" w14:textId="66E34242" w:rsidR="003E42B1" w:rsidRPr="006E07A3" w:rsidRDefault="003E42B1" w:rsidP="0014458C">
      <w:pPr>
        <w:pStyle w:val="Reporttext"/>
      </w:pPr>
      <w:r w:rsidRPr="006E07A3">
        <w:t xml:space="preserve">This is a total of current households on authorised pitches, households on pitches planning to move in the next five years and demand from emerging households currently living on pitches. This indicates a total need for </w:t>
      </w:r>
      <w:r w:rsidR="00AF21FD">
        <w:t>6</w:t>
      </w:r>
      <w:r w:rsidR="00787125">
        <w:t>2</w:t>
      </w:r>
      <w:r w:rsidR="0069773E">
        <w:t xml:space="preserve"> </w:t>
      </w:r>
      <w:r w:rsidRPr="006E07A3">
        <w:t>pitches.</w:t>
      </w:r>
    </w:p>
    <w:p w14:paraId="1E10A58D" w14:textId="77777777" w:rsidR="003E42B1" w:rsidRPr="00F37FA8" w:rsidRDefault="003E42B1" w:rsidP="003E42B1"/>
    <w:p w14:paraId="7FABE5FD" w14:textId="77777777" w:rsidR="003E42B1" w:rsidRPr="00F37FA8" w:rsidRDefault="003E42B1" w:rsidP="003E42B1">
      <w:pPr>
        <w:pStyle w:val="Heading3"/>
      </w:pPr>
      <w:r w:rsidRPr="00F37FA8">
        <w:t>Supply</w:t>
      </w:r>
    </w:p>
    <w:p w14:paraId="00A31DF7" w14:textId="1CCBB91A" w:rsidR="003E42B1" w:rsidRPr="00F37FA8" w:rsidRDefault="00AF21FD" w:rsidP="00AF21FD">
      <w:pPr>
        <w:pStyle w:val="Heading4"/>
      </w:pPr>
      <w:r>
        <w:t>Current supply of authorised pitches (6)</w:t>
      </w:r>
      <w:r w:rsidRPr="006E07A3">
        <w:t>)</w:t>
      </w:r>
      <w:r>
        <w:t xml:space="preserve"> </w:t>
      </w:r>
    </w:p>
    <w:p w14:paraId="0CC1345F" w14:textId="5CAF09F7" w:rsidR="003E42B1" w:rsidRPr="00F37FA8" w:rsidRDefault="003E42B1" w:rsidP="0014458C">
      <w:pPr>
        <w:pStyle w:val="Reporttext"/>
      </w:pPr>
      <w:r w:rsidRPr="00F37FA8">
        <w:t xml:space="preserve">This is a summary of the total number of authorised pitches and the number of vacant authorised pitches. This shows a total supply of </w:t>
      </w:r>
      <w:r w:rsidR="00F37FA8">
        <w:t>33</w:t>
      </w:r>
      <w:r w:rsidRPr="00F37FA8">
        <w:t xml:space="preserve"> authorised pitches</w:t>
      </w:r>
      <w:r w:rsidR="00F37FA8">
        <w:t xml:space="preserve"> and </w:t>
      </w:r>
      <w:r w:rsidR="00AF21FD">
        <w:t>9</w:t>
      </w:r>
      <w:r w:rsidR="00F37FA8">
        <w:t xml:space="preserve"> vacant pitches</w:t>
      </w:r>
      <w:r w:rsidR="00AF21FD">
        <w:t xml:space="preserve"> (</w:t>
      </w:r>
      <w:r w:rsidR="00CC777C">
        <w:t>which are undergoing refurbishment work on the local authority site</w:t>
      </w:r>
      <w:r w:rsidR="00AF21FD">
        <w:t>)</w:t>
      </w:r>
      <w:r w:rsidR="00CC777C">
        <w:t xml:space="preserve">. Including these in supply results in an </w:t>
      </w:r>
      <w:r w:rsidR="00CC777C" w:rsidRPr="00F37FA8">
        <w:t xml:space="preserve">overall </w:t>
      </w:r>
      <w:r w:rsidR="00CC777C">
        <w:t>supply of 42 pitches</w:t>
      </w:r>
    </w:p>
    <w:p w14:paraId="6B02D75C" w14:textId="77777777" w:rsidR="003E42B1" w:rsidRPr="00F37FA8" w:rsidRDefault="003E42B1" w:rsidP="003E6544"/>
    <w:p w14:paraId="670CC843" w14:textId="77777777" w:rsidR="003E42B1" w:rsidRPr="00F37FA8" w:rsidRDefault="003E42B1" w:rsidP="003E42B1">
      <w:pPr>
        <w:pStyle w:val="Heading3"/>
      </w:pPr>
      <w:r w:rsidRPr="00F37FA8">
        <w:t>Reconciling supply and demand</w:t>
      </w:r>
    </w:p>
    <w:p w14:paraId="6C06EEB0" w14:textId="23E2C33D" w:rsidR="00A101C8" w:rsidRDefault="003E42B1" w:rsidP="0014458C">
      <w:pPr>
        <w:pStyle w:val="Reporttext"/>
      </w:pPr>
      <w:r w:rsidRPr="00F37FA8">
        <w:t xml:space="preserve">There is a total need over the next five years (2018/19 to 2022/23) for </w:t>
      </w:r>
      <w:r w:rsidR="00AF21FD">
        <w:t>6</w:t>
      </w:r>
      <w:r w:rsidR="00787125">
        <w:t>2</w:t>
      </w:r>
      <w:r w:rsidRPr="00F37FA8">
        <w:t xml:space="preserve"> pitches in </w:t>
      </w:r>
      <w:r w:rsidR="00EE6DA0" w:rsidRPr="00F37FA8">
        <w:t>West Berkshire</w:t>
      </w:r>
      <w:r w:rsidRPr="00F37FA8">
        <w:t xml:space="preserve"> District (Table </w:t>
      </w:r>
      <w:r w:rsidR="00787125">
        <w:t>7</w:t>
      </w:r>
      <w:r w:rsidRPr="00F37FA8">
        <w:t xml:space="preserve">.1) compared with a supply of </w:t>
      </w:r>
      <w:r w:rsidR="00CC777C">
        <w:t>42</w:t>
      </w:r>
      <w:r w:rsidRPr="00F37FA8">
        <w:t xml:space="preserve"> authorised pitches. </w:t>
      </w:r>
      <w:r w:rsidR="00CC777C">
        <w:t xml:space="preserve">This results in a </w:t>
      </w:r>
      <w:r w:rsidRPr="00F37FA8">
        <w:t xml:space="preserve">cultural shortfall of </w:t>
      </w:r>
      <w:r w:rsidR="00AF21FD">
        <w:t>2</w:t>
      </w:r>
      <w:r w:rsidR="00787125">
        <w:t>0</w:t>
      </w:r>
      <w:r w:rsidRPr="00F37FA8">
        <w:t xml:space="preserve"> pitches. </w:t>
      </w:r>
    </w:p>
    <w:p w14:paraId="717408E6" w14:textId="7E23F053" w:rsidR="003E42B1" w:rsidRPr="00ED573B" w:rsidRDefault="00A101C8" w:rsidP="00A101C8">
      <w:pPr>
        <w:spacing w:before="0" w:after="0"/>
        <w:jc w:val="left"/>
        <w:rPr>
          <w:highlight w:val="red"/>
        </w:rPr>
      </w:pPr>
      <w:r w:rsidRPr="00ED573B">
        <w:rPr>
          <w:highlight w:val="red"/>
        </w:rPr>
        <w:br w:type="page"/>
      </w:r>
    </w:p>
    <w:tbl>
      <w:tblPr>
        <w:tblW w:w="5611" w:type="pct"/>
        <w:tblInd w:w="15"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A0" w:firstRow="1" w:lastRow="0" w:firstColumn="1" w:lastColumn="0" w:noHBand="0" w:noVBand="0"/>
      </w:tblPr>
      <w:tblGrid>
        <w:gridCol w:w="561"/>
        <w:gridCol w:w="3236"/>
        <w:gridCol w:w="4348"/>
        <w:gridCol w:w="2128"/>
        <w:gridCol w:w="6"/>
      </w:tblGrid>
      <w:tr w:rsidR="003E42B1" w:rsidRPr="007A2552" w14:paraId="4E012047" w14:textId="77777777" w:rsidTr="00B550ED">
        <w:trPr>
          <w:trHeight w:val="816"/>
        </w:trPr>
        <w:tc>
          <w:tcPr>
            <w:tcW w:w="5000" w:type="pct"/>
            <w:gridSpan w:val="5"/>
            <w:tcBorders>
              <w:top w:val="single" w:sz="12" w:space="0" w:color="006666"/>
              <w:left w:val="single" w:sz="12" w:space="0" w:color="006666"/>
              <w:bottom w:val="single" w:sz="12" w:space="0" w:color="006666"/>
              <w:right w:val="single" w:sz="12" w:space="0" w:color="006666"/>
            </w:tcBorders>
            <w:shd w:val="clear" w:color="auto" w:fill="009999"/>
            <w:noWrap/>
            <w:tcMar>
              <w:top w:w="0" w:type="dxa"/>
              <w:left w:w="0" w:type="dxa"/>
              <w:bottom w:w="0" w:type="dxa"/>
              <w:right w:w="0" w:type="dxa"/>
            </w:tcMar>
            <w:vAlign w:val="center"/>
            <w:hideMark/>
          </w:tcPr>
          <w:p w14:paraId="60FFBCF6" w14:textId="04CACF76" w:rsidR="003E42B1" w:rsidRPr="007A2552" w:rsidRDefault="003E42B1" w:rsidP="007A2552">
            <w:pPr>
              <w:pStyle w:val="tableheading"/>
              <w:rPr>
                <w:lang w:eastAsia="en-GB"/>
              </w:rPr>
            </w:pPr>
            <w:bookmarkStart w:id="267" w:name="_Toc13845514"/>
            <w:r w:rsidRPr="007A2552">
              <w:rPr>
                <w:lang w:eastAsia="en-GB"/>
              </w:rPr>
              <w:t xml:space="preserve">Table </w:t>
            </w:r>
            <w:r w:rsidR="00787125">
              <w:rPr>
                <w:lang w:eastAsia="en-GB"/>
              </w:rPr>
              <w:t>7</w:t>
            </w:r>
            <w:r w:rsidRPr="007A2552">
              <w:rPr>
                <w:lang w:eastAsia="en-GB"/>
              </w:rPr>
              <w:t>.1</w:t>
            </w:r>
            <w:r w:rsidRPr="007A2552">
              <w:rPr>
                <w:lang w:eastAsia="en-GB"/>
              </w:rPr>
              <w:tab/>
              <w:t>Summary of demand and supply factors: Gypsies and Travellers – 2018/19 to 2022/23</w:t>
            </w:r>
            <w:bookmarkEnd w:id="267"/>
          </w:p>
        </w:tc>
      </w:tr>
      <w:tr w:rsidR="003E42B1" w:rsidRPr="007A2552" w14:paraId="3C58AB23" w14:textId="77777777" w:rsidTr="00B550ED">
        <w:trPr>
          <w:gridAfter w:val="1"/>
          <w:wAfter w:w="3" w:type="pct"/>
        </w:trPr>
        <w:tc>
          <w:tcPr>
            <w:tcW w:w="3961" w:type="pct"/>
            <w:gridSpan w:val="3"/>
            <w:tcBorders>
              <w:top w:val="single" w:sz="12" w:space="0" w:color="006666"/>
              <w:left w:val="single" w:sz="12" w:space="0" w:color="006666"/>
              <w:bottom w:val="single" w:sz="12" w:space="0" w:color="006666"/>
              <w:right w:val="single" w:sz="4" w:space="0" w:color="006666"/>
            </w:tcBorders>
            <w:shd w:val="clear" w:color="auto" w:fill="009999"/>
            <w:noWrap/>
            <w:tcMar>
              <w:top w:w="0" w:type="dxa"/>
              <w:left w:w="0" w:type="dxa"/>
              <w:bottom w:w="0" w:type="dxa"/>
              <w:right w:w="0" w:type="dxa"/>
            </w:tcMar>
            <w:vAlign w:val="center"/>
            <w:hideMark/>
          </w:tcPr>
          <w:p w14:paraId="1C4027C0" w14:textId="77777777" w:rsidR="003E42B1" w:rsidRPr="007A2552" w:rsidRDefault="003E42B1" w:rsidP="003E42B1">
            <w:pPr>
              <w:spacing w:before="10" w:after="10"/>
              <w:rPr>
                <w:rFonts w:cs="Calibri"/>
                <w:color w:val="FFFFFF"/>
                <w:sz w:val="20"/>
                <w:szCs w:val="20"/>
              </w:rPr>
            </w:pPr>
            <w:r w:rsidRPr="007A2552">
              <w:rPr>
                <w:rFonts w:cs="Calibri"/>
                <w:b/>
                <w:bCs/>
                <w:color w:val="FFFFFF"/>
                <w:sz w:val="20"/>
                <w:szCs w:val="20"/>
              </w:rPr>
              <w:t>CULTURAL NEED</w:t>
            </w:r>
          </w:p>
        </w:tc>
        <w:tc>
          <w:tcPr>
            <w:tcW w:w="1035" w:type="pct"/>
            <w:tcBorders>
              <w:top w:val="single" w:sz="12" w:space="0" w:color="006666"/>
              <w:left w:val="single" w:sz="4" w:space="0" w:color="006666"/>
              <w:bottom w:val="single" w:sz="12" w:space="0" w:color="006666"/>
              <w:right w:val="single" w:sz="12" w:space="0" w:color="006666"/>
            </w:tcBorders>
            <w:shd w:val="clear" w:color="auto" w:fill="009999"/>
            <w:noWrap/>
            <w:tcMar>
              <w:top w:w="0" w:type="dxa"/>
              <w:left w:w="0" w:type="dxa"/>
              <w:bottom w:w="0" w:type="dxa"/>
              <w:right w:w="0" w:type="dxa"/>
            </w:tcMar>
            <w:vAlign w:val="center"/>
            <w:hideMark/>
          </w:tcPr>
          <w:p w14:paraId="470C424F" w14:textId="0591C034" w:rsidR="003E42B1" w:rsidRPr="007A2552" w:rsidRDefault="00EE6DA0" w:rsidP="00B550ED">
            <w:pPr>
              <w:spacing w:before="10" w:after="10"/>
              <w:jc w:val="center"/>
              <w:rPr>
                <w:rFonts w:cs="Calibri"/>
                <w:b/>
                <w:color w:val="FFFFFF"/>
                <w:sz w:val="20"/>
                <w:szCs w:val="20"/>
              </w:rPr>
            </w:pPr>
            <w:r w:rsidRPr="007A2552">
              <w:rPr>
                <w:rFonts w:cs="Calibri"/>
                <w:b/>
                <w:color w:val="FFFFFF"/>
                <w:sz w:val="20"/>
                <w:szCs w:val="20"/>
              </w:rPr>
              <w:t>West Berkshire</w:t>
            </w:r>
            <w:r w:rsidR="003E42B1" w:rsidRPr="007A2552">
              <w:rPr>
                <w:rFonts w:cs="Calibri"/>
                <w:b/>
                <w:color w:val="FFFFFF"/>
                <w:sz w:val="20"/>
                <w:szCs w:val="20"/>
              </w:rPr>
              <w:t xml:space="preserve"> District</w:t>
            </w:r>
          </w:p>
        </w:tc>
      </w:tr>
      <w:tr w:rsidR="003E42B1" w:rsidRPr="007A2552" w14:paraId="0FAD4618" w14:textId="77777777" w:rsidTr="00B550ED">
        <w:trPr>
          <w:gridAfter w:val="1"/>
          <w:wAfter w:w="3" w:type="pct"/>
        </w:trPr>
        <w:tc>
          <w:tcPr>
            <w:tcW w:w="273" w:type="pct"/>
            <w:vMerge w:val="restart"/>
            <w:tcBorders>
              <w:top w:val="single" w:sz="12" w:space="0" w:color="006666"/>
              <w:left w:val="single" w:sz="12" w:space="0" w:color="006666"/>
              <w:bottom w:val="single" w:sz="12" w:space="0" w:color="006666"/>
              <w:right w:val="single" w:sz="12" w:space="0" w:color="006666"/>
            </w:tcBorders>
            <w:noWrap/>
            <w:tcMar>
              <w:top w:w="0" w:type="dxa"/>
              <w:left w:w="0" w:type="dxa"/>
              <w:bottom w:w="0" w:type="dxa"/>
              <w:right w:w="0" w:type="dxa"/>
            </w:tcMar>
            <w:vAlign w:val="center"/>
            <w:hideMark/>
          </w:tcPr>
          <w:p w14:paraId="30AA40C5" w14:textId="77777777" w:rsidR="003E42B1" w:rsidRPr="007A2552" w:rsidRDefault="003E42B1" w:rsidP="003E42B1">
            <w:pPr>
              <w:spacing w:before="10" w:after="10"/>
              <w:jc w:val="center"/>
              <w:rPr>
                <w:rFonts w:cs="Calibri"/>
                <w:b/>
                <w:sz w:val="20"/>
                <w:szCs w:val="20"/>
              </w:rPr>
            </w:pPr>
            <w:r w:rsidRPr="007A2552">
              <w:rPr>
                <w:rFonts w:cs="Calibri"/>
                <w:b/>
                <w:sz w:val="20"/>
                <w:szCs w:val="20"/>
              </w:rPr>
              <w:t>1</w:t>
            </w:r>
          </w:p>
        </w:tc>
        <w:tc>
          <w:tcPr>
            <w:tcW w:w="1574" w:type="pct"/>
            <w:vMerge w:val="restart"/>
            <w:tcBorders>
              <w:top w:val="single" w:sz="12" w:space="0" w:color="006666"/>
              <w:left w:val="single" w:sz="12" w:space="0" w:color="006666"/>
              <w:bottom w:val="single" w:sz="12" w:space="0" w:color="006666"/>
              <w:right w:val="single" w:sz="4" w:space="0" w:color="006666"/>
            </w:tcBorders>
            <w:tcMar>
              <w:top w:w="0" w:type="dxa"/>
              <w:left w:w="0" w:type="dxa"/>
              <w:bottom w:w="0" w:type="dxa"/>
              <w:right w:w="0" w:type="dxa"/>
            </w:tcMar>
            <w:vAlign w:val="center"/>
            <w:hideMark/>
          </w:tcPr>
          <w:p w14:paraId="0E83A45B" w14:textId="77777777" w:rsidR="003E42B1" w:rsidRPr="007A2552" w:rsidRDefault="003E42B1" w:rsidP="003E42B1">
            <w:pPr>
              <w:spacing w:before="10" w:after="10"/>
              <w:jc w:val="left"/>
              <w:rPr>
                <w:rFonts w:cs="Calibri"/>
                <w:b/>
                <w:bCs/>
                <w:sz w:val="20"/>
                <w:szCs w:val="20"/>
              </w:rPr>
            </w:pPr>
            <w:r w:rsidRPr="007A2552">
              <w:rPr>
                <w:rFonts w:cs="Calibri"/>
                <w:b/>
                <w:bCs/>
                <w:sz w:val="20"/>
                <w:szCs w:val="20"/>
              </w:rPr>
              <w:t>Total households living on pitches</w:t>
            </w:r>
          </w:p>
        </w:tc>
        <w:tc>
          <w:tcPr>
            <w:tcW w:w="2115" w:type="pct"/>
            <w:tcBorders>
              <w:top w:val="single" w:sz="12" w:space="0" w:color="006666"/>
              <w:left w:val="single" w:sz="4" w:space="0" w:color="006666"/>
              <w:bottom w:val="single" w:sz="4" w:space="0" w:color="006666"/>
              <w:right w:val="single" w:sz="4" w:space="0" w:color="006666"/>
            </w:tcBorders>
            <w:tcMar>
              <w:top w:w="0" w:type="dxa"/>
              <w:left w:w="0" w:type="dxa"/>
              <w:bottom w:w="0" w:type="dxa"/>
              <w:right w:w="0" w:type="dxa"/>
            </w:tcMar>
            <w:vAlign w:val="bottom"/>
            <w:hideMark/>
          </w:tcPr>
          <w:p w14:paraId="6B44E1EA"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1a. On LA Site</w:t>
            </w:r>
          </w:p>
        </w:tc>
        <w:tc>
          <w:tcPr>
            <w:tcW w:w="1035" w:type="pct"/>
            <w:tcBorders>
              <w:top w:val="single" w:sz="12"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4C9BCA50" w14:textId="348FCEC8" w:rsidR="003E42B1" w:rsidRPr="007A2552" w:rsidRDefault="00F37FA8" w:rsidP="003E42B1">
            <w:pPr>
              <w:spacing w:before="10" w:after="10"/>
              <w:jc w:val="center"/>
              <w:rPr>
                <w:rFonts w:cs="Calibri"/>
                <w:color w:val="000000"/>
                <w:sz w:val="20"/>
                <w:szCs w:val="20"/>
              </w:rPr>
            </w:pPr>
            <w:r w:rsidRPr="007A2552">
              <w:rPr>
                <w:rFonts w:cs="Calibri"/>
                <w:color w:val="000000"/>
                <w:sz w:val="20"/>
                <w:szCs w:val="20"/>
              </w:rPr>
              <w:t>7</w:t>
            </w:r>
          </w:p>
        </w:tc>
      </w:tr>
      <w:tr w:rsidR="003E42B1" w:rsidRPr="007A2552" w14:paraId="30D34678"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0566B0D5"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4F9A9200"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bottom"/>
            <w:hideMark/>
          </w:tcPr>
          <w:p w14:paraId="77DFF3CC"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1b. On Private Site – Authorised</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6598C53B" w14:textId="5FC83B02" w:rsidR="003E42B1" w:rsidRPr="007A2552" w:rsidRDefault="00F37FA8" w:rsidP="003E42B1">
            <w:pPr>
              <w:spacing w:before="10" w:after="10"/>
              <w:jc w:val="center"/>
              <w:rPr>
                <w:rFonts w:cs="Calibri"/>
                <w:color w:val="000000"/>
                <w:sz w:val="20"/>
                <w:szCs w:val="20"/>
              </w:rPr>
            </w:pPr>
            <w:r w:rsidRPr="007A2552">
              <w:rPr>
                <w:rFonts w:cs="Calibri"/>
                <w:color w:val="000000"/>
                <w:sz w:val="20"/>
                <w:szCs w:val="20"/>
              </w:rPr>
              <w:t>25</w:t>
            </w:r>
          </w:p>
        </w:tc>
      </w:tr>
      <w:tr w:rsidR="003E42B1" w:rsidRPr="007A2552" w14:paraId="5D8E5AA5"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tcPr>
          <w:p w14:paraId="344341DC"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tcPr>
          <w:p w14:paraId="13426DB7"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bottom"/>
          </w:tcPr>
          <w:p w14:paraId="7677C252" w14:textId="77777777" w:rsidR="003E42B1" w:rsidRPr="007A2552" w:rsidRDefault="003E42B1" w:rsidP="003E42B1">
            <w:pPr>
              <w:spacing w:before="0" w:after="0"/>
              <w:rPr>
                <w:rFonts w:cs="Calibri"/>
                <w:color w:val="000000"/>
                <w:sz w:val="20"/>
                <w:szCs w:val="20"/>
              </w:rPr>
            </w:pPr>
            <w:r w:rsidRPr="007A2552">
              <w:rPr>
                <w:rFonts w:cs="Calibri"/>
                <w:color w:val="000000"/>
                <w:sz w:val="20"/>
                <w:szCs w:val="20"/>
              </w:rPr>
              <w:t>1c. On Private Site - Temporary Authorised</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tcPr>
          <w:p w14:paraId="6B66B082" w14:textId="0CB1A04C" w:rsidR="003E42B1" w:rsidRPr="007A2552" w:rsidRDefault="00D472DD" w:rsidP="003E42B1">
            <w:pPr>
              <w:spacing w:before="0" w:after="0"/>
              <w:jc w:val="center"/>
              <w:rPr>
                <w:rFonts w:cs="Calibri"/>
                <w:color w:val="000000"/>
                <w:sz w:val="20"/>
                <w:szCs w:val="20"/>
              </w:rPr>
            </w:pPr>
            <w:r w:rsidRPr="007A2552">
              <w:rPr>
                <w:rFonts w:cs="Calibri"/>
                <w:color w:val="000000"/>
                <w:sz w:val="20"/>
                <w:szCs w:val="20"/>
              </w:rPr>
              <w:t>0</w:t>
            </w:r>
          </w:p>
        </w:tc>
      </w:tr>
      <w:tr w:rsidR="003E42B1" w:rsidRPr="007A2552" w14:paraId="34E5876D"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tcPr>
          <w:p w14:paraId="14690660"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tcPr>
          <w:p w14:paraId="1C2640AF"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bottom"/>
          </w:tcPr>
          <w:p w14:paraId="028C28B5" w14:textId="3EF4E142" w:rsidR="003E42B1" w:rsidRPr="007A2552" w:rsidRDefault="003E42B1" w:rsidP="003E42B1">
            <w:pPr>
              <w:spacing w:before="0" w:after="0"/>
              <w:rPr>
                <w:rFonts w:cs="Calibri"/>
                <w:color w:val="000000"/>
                <w:sz w:val="20"/>
                <w:szCs w:val="20"/>
              </w:rPr>
            </w:pPr>
            <w:r w:rsidRPr="007A2552">
              <w:rPr>
                <w:rFonts w:cs="Calibri"/>
                <w:color w:val="000000"/>
                <w:sz w:val="20"/>
                <w:szCs w:val="20"/>
              </w:rPr>
              <w:t>1</w:t>
            </w:r>
            <w:r w:rsidR="00D472DD" w:rsidRPr="007A2552">
              <w:rPr>
                <w:rFonts w:cs="Calibri"/>
                <w:color w:val="000000"/>
                <w:sz w:val="20"/>
                <w:szCs w:val="20"/>
              </w:rPr>
              <w:t>d</w:t>
            </w:r>
            <w:r w:rsidRPr="007A2552">
              <w:rPr>
                <w:rFonts w:cs="Calibri"/>
                <w:color w:val="000000"/>
                <w:sz w:val="20"/>
                <w:szCs w:val="20"/>
              </w:rPr>
              <w:t>. Unauthorised site –</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tcPr>
          <w:p w14:paraId="560264E5" w14:textId="0F49FC78" w:rsidR="003E42B1" w:rsidRPr="007A2552" w:rsidRDefault="00747925" w:rsidP="003E42B1">
            <w:pPr>
              <w:spacing w:before="0" w:after="0"/>
              <w:jc w:val="center"/>
              <w:rPr>
                <w:rFonts w:cs="Calibri"/>
                <w:color w:val="000000"/>
                <w:sz w:val="20"/>
                <w:szCs w:val="20"/>
              </w:rPr>
            </w:pPr>
            <w:r>
              <w:rPr>
                <w:rFonts w:cs="Calibri"/>
                <w:color w:val="000000"/>
                <w:sz w:val="20"/>
                <w:szCs w:val="20"/>
              </w:rPr>
              <w:t>4</w:t>
            </w:r>
            <w:r w:rsidR="00B550ED">
              <w:rPr>
                <w:rFonts w:cs="Calibri"/>
                <w:color w:val="000000"/>
                <w:sz w:val="20"/>
                <w:szCs w:val="20"/>
              </w:rPr>
              <w:t>*</w:t>
            </w:r>
          </w:p>
        </w:tc>
      </w:tr>
      <w:tr w:rsidR="003E42B1" w:rsidRPr="007A2552" w14:paraId="75A126D1"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tcPr>
          <w:p w14:paraId="469A875D"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tcPr>
          <w:p w14:paraId="3147E1F6"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bottom"/>
          </w:tcPr>
          <w:p w14:paraId="2DB478C7" w14:textId="6345F9D4" w:rsidR="003E42B1" w:rsidRPr="007A2552" w:rsidRDefault="003E42B1" w:rsidP="003E42B1">
            <w:pPr>
              <w:spacing w:before="0" w:after="0"/>
              <w:rPr>
                <w:rFonts w:cs="Calibri"/>
                <w:b/>
                <w:bCs/>
                <w:color w:val="000000"/>
                <w:sz w:val="20"/>
                <w:szCs w:val="20"/>
              </w:rPr>
            </w:pPr>
            <w:r w:rsidRPr="007A2552">
              <w:rPr>
                <w:rFonts w:cs="Calibri"/>
                <w:b/>
                <w:bCs/>
                <w:color w:val="000000"/>
                <w:sz w:val="20"/>
                <w:szCs w:val="20"/>
              </w:rPr>
              <w:t>1</w:t>
            </w:r>
            <w:r w:rsidR="00D472DD" w:rsidRPr="007A2552">
              <w:rPr>
                <w:rFonts w:cs="Calibri"/>
                <w:b/>
                <w:bCs/>
                <w:color w:val="000000"/>
                <w:sz w:val="20"/>
                <w:szCs w:val="20"/>
              </w:rPr>
              <w:t>e</w:t>
            </w:r>
            <w:r w:rsidRPr="007A2552">
              <w:rPr>
                <w:rFonts w:cs="Calibri"/>
                <w:b/>
                <w:bCs/>
                <w:color w:val="000000"/>
                <w:sz w:val="20"/>
                <w:szCs w:val="20"/>
              </w:rPr>
              <w:t>. Total (1a to 1</w:t>
            </w:r>
            <w:r w:rsidR="00D472DD" w:rsidRPr="007A2552">
              <w:rPr>
                <w:rFonts w:cs="Calibri"/>
                <w:b/>
                <w:bCs/>
                <w:color w:val="000000"/>
                <w:sz w:val="20"/>
                <w:szCs w:val="20"/>
              </w:rPr>
              <w:t>d</w:t>
            </w:r>
            <w:r w:rsidRPr="007A2552">
              <w:rPr>
                <w:rFonts w:cs="Calibri"/>
                <w:b/>
                <w:bCs/>
                <w:color w:val="000000"/>
                <w:sz w:val="20"/>
                <w:szCs w:val="20"/>
              </w:rPr>
              <w:t>)</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tcPr>
          <w:p w14:paraId="7F8A3F09" w14:textId="42D155FA" w:rsidR="003E42B1" w:rsidRPr="007A2552" w:rsidRDefault="00D472DD" w:rsidP="003E42B1">
            <w:pPr>
              <w:spacing w:before="0" w:after="0"/>
              <w:jc w:val="center"/>
              <w:rPr>
                <w:rFonts w:cs="Calibri"/>
                <w:b/>
                <w:bCs/>
                <w:color w:val="000000"/>
                <w:sz w:val="20"/>
                <w:szCs w:val="20"/>
              </w:rPr>
            </w:pPr>
            <w:r w:rsidRPr="007A2552">
              <w:rPr>
                <w:rFonts w:cs="Calibri"/>
                <w:b/>
                <w:bCs/>
                <w:color w:val="000000"/>
                <w:sz w:val="20"/>
                <w:szCs w:val="20"/>
              </w:rPr>
              <w:t>3</w:t>
            </w:r>
            <w:r w:rsidR="00747925">
              <w:rPr>
                <w:rFonts w:cs="Calibri"/>
                <w:b/>
                <w:bCs/>
                <w:color w:val="000000"/>
                <w:sz w:val="20"/>
                <w:szCs w:val="20"/>
              </w:rPr>
              <w:t>6</w:t>
            </w:r>
          </w:p>
        </w:tc>
      </w:tr>
      <w:tr w:rsidR="003E42B1" w:rsidRPr="007A2552" w14:paraId="54644401" w14:textId="77777777" w:rsidTr="00B550ED">
        <w:trPr>
          <w:gridAfter w:val="1"/>
          <w:wAfter w:w="3" w:type="pct"/>
        </w:trPr>
        <w:tc>
          <w:tcPr>
            <w:tcW w:w="273" w:type="pct"/>
            <w:tcBorders>
              <w:top w:val="single" w:sz="12" w:space="0" w:color="006666"/>
              <w:left w:val="single" w:sz="12" w:space="0" w:color="006666"/>
              <w:bottom w:val="single" w:sz="12" w:space="0" w:color="006666"/>
              <w:right w:val="single" w:sz="12" w:space="0" w:color="006666"/>
            </w:tcBorders>
            <w:noWrap/>
            <w:tcMar>
              <w:top w:w="0" w:type="dxa"/>
              <w:left w:w="0" w:type="dxa"/>
              <w:bottom w:w="0" w:type="dxa"/>
              <w:right w:w="0" w:type="dxa"/>
            </w:tcMar>
            <w:vAlign w:val="center"/>
            <w:hideMark/>
          </w:tcPr>
          <w:p w14:paraId="425B0527" w14:textId="77777777" w:rsidR="003E42B1" w:rsidRPr="007A2552" w:rsidRDefault="003E42B1" w:rsidP="003E42B1">
            <w:pPr>
              <w:spacing w:before="10" w:after="10"/>
              <w:jc w:val="center"/>
              <w:rPr>
                <w:rFonts w:cs="Calibri"/>
                <w:b/>
                <w:sz w:val="20"/>
                <w:szCs w:val="20"/>
              </w:rPr>
            </w:pPr>
            <w:r w:rsidRPr="007A2552">
              <w:rPr>
                <w:rFonts w:cs="Calibri"/>
                <w:b/>
                <w:sz w:val="20"/>
                <w:szCs w:val="20"/>
              </w:rPr>
              <w:t>2A</w:t>
            </w:r>
          </w:p>
        </w:tc>
        <w:tc>
          <w:tcPr>
            <w:tcW w:w="1574" w:type="pct"/>
            <w:tcBorders>
              <w:top w:val="single" w:sz="12" w:space="0" w:color="006666"/>
              <w:left w:val="single" w:sz="12" w:space="0" w:color="006666"/>
              <w:bottom w:val="single" w:sz="12" w:space="0" w:color="006666"/>
              <w:right w:val="single" w:sz="4" w:space="0" w:color="006666"/>
            </w:tcBorders>
            <w:tcMar>
              <w:top w:w="0" w:type="dxa"/>
              <w:left w:w="0" w:type="dxa"/>
              <w:bottom w:w="0" w:type="dxa"/>
              <w:right w:w="0" w:type="dxa"/>
            </w:tcMar>
            <w:vAlign w:val="center"/>
            <w:hideMark/>
          </w:tcPr>
          <w:p w14:paraId="38E1924B" w14:textId="77777777" w:rsidR="003E42B1" w:rsidRPr="007A2552" w:rsidRDefault="003E42B1" w:rsidP="003E42B1">
            <w:pPr>
              <w:spacing w:before="10" w:after="10"/>
              <w:jc w:val="left"/>
              <w:rPr>
                <w:rFonts w:cs="Calibri"/>
                <w:b/>
                <w:bCs/>
                <w:sz w:val="20"/>
                <w:szCs w:val="20"/>
              </w:rPr>
            </w:pPr>
            <w:r w:rsidRPr="007A2552">
              <w:rPr>
                <w:rFonts w:cs="Calibri"/>
                <w:b/>
                <w:bCs/>
                <w:sz w:val="20"/>
                <w:szCs w:val="20"/>
              </w:rPr>
              <w:t xml:space="preserve">Estimate of households in bricks and mortar accommodation </w:t>
            </w:r>
          </w:p>
        </w:tc>
        <w:tc>
          <w:tcPr>
            <w:tcW w:w="2115" w:type="pct"/>
            <w:tcBorders>
              <w:top w:val="single" w:sz="12" w:space="0" w:color="006666"/>
              <w:left w:val="single" w:sz="4" w:space="0" w:color="006666"/>
              <w:bottom w:val="single" w:sz="12" w:space="0" w:color="006666"/>
              <w:right w:val="single" w:sz="4" w:space="0" w:color="006666"/>
            </w:tcBorders>
            <w:tcMar>
              <w:top w:w="0" w:type="dxa"/>
              <w:left w:w="0" w:type="dxa"/>
              <w:bottom w:w="0" w:type="dxa"/>
              <w:right w:w="0" w:type="dxa"/>
            </w:tcMar>
            <w:vAlign w:val="center"/>
            <w:hideMark/>
          </w:tcPr>
          <w:p w14:paraId="40B61B04" w14:textId="77777777" w:rsidR="003E42B1" w:rsidRPr="007A2552" w:rsidRDefault="003E42B1" w:rsidP="003E42B1">
            <w:pPr>
              <w:spacing w:before="10" w:after="10"/>
              <w:jc w:val="left"/>
              <w:rPr>
                <w:rFonts w:cs="Calibri"/>
                <w:b/>
                <w:sz w:val="20"/>
                <w:szCs w:val="20"/>
              </w:rPr>
            </w:pPr>
            <w:r w:rsidRPr="007A2552">
              <w:rPr>
                <w:rFonts w:cs="Calibri"/>
                <w:b/>
                <w:sz w:val="20"/>
                <w:szCs w:val="20"/>
              </w:rPr>
              <w:t>2a. TOTAL (2011 Census)</w:t>
            </w:r>
          </w:p>
        </w:tc>
        <w:tc>
          <w:tcPr>
            <w:tcW w:w="1035" w:type="pct"/>
            <w:tcBorders>
              <w:top w:val="single" w:sz="12" w:space="0" w:color="006666"/>
              <w:left w:val="single" w:sz="4" w:space="0" w:color="006666"/>
              <w:bottom w:val="single" w:sz="12" w:space="0" w:color="006666"/>
              <w:right w:val="single" w:sz="12" w:space="0" w:color="006666"/>
            </w:tcBorders>
            <w:noWrap/>
            <w:tcMar>
              <w:top w:w="0" w:type="dxa"/>
              <w:left w:w="0" w:type="dxa"/>
              <w:bottom w:w="0" w:type="dxa"/>
              <w:right w:w="0" w:type="dxa"/>
            </w:tcMar>
            <w:vAlign w:val="center"/>
            <w:hideMark/>
          </w:tcPr>
          <w:p w14:paraId="25374524" w14:textId="6F3CEF01" w:rsidR="003E42B1" w:rsidRPr="007A2552" w:rsidRDefault="00F404C0" w:rsidP="003E42B1">
            <w:pPr>
              <w:spacing w:before="10" w:after="10"/>
              <w:jc w:val="center"/>
              <w:rPr>
                <w:rFonts w:cs="Calibri"/>
                <w:b/>
                <w:color w:val="000000"/>
                <w:sz w:val="20"/>
                <w:szCs w:val="20"/>
              </w:rPr>
            </w:pPr>
            <w:r w:rsidRPr="007A2552">
              <w:rPr>
                <w:rFonts w:cs="Calibri"/>
                <w:b/>
                <w:color w:val="000000"/>
                <w:sz w:val="20"/>
                <w:szCs w:val="20"/>
              </w:rPr>
              <w:t>44</w:t>
            </w:r>
          </w:p>
        </w:tc>
      </w:tr>
      <w:tr w:rsidR="003E42B1" w:rsidRPr="007A2552" w14:paraId="3F5B56E2" w14:textId="77777777" w:rsidTr="00B550ED">
        <w:tc>
          <w:tcPr>
            <w:tcW w:w="273" w:type="pct"/>
            <w:vMerge w:val="restart"/>
            <w:tcBorders>
              <w:top w:val="single" w:sz="12" w:space="0" w:color="006666"/>
              <w:left w:val="single" w:sz="12" w:space="0" w:color="006666"/>
              <w:bottom w:val="single" w:sz="12" w:space="0" w:color="006666"/>
              <w:right w:val="single" w:sz="12" w:space="0" w:color="006666"/>
            </w:tcBorders>
            <w:noWrap/>
            <w:tcMar>
              <w:top w:w="0" w:type="dxa"/>
              <w:left w:w="0" w:type="dxa"/>
              <w:bottom w:w="0" w:type="dxa"/>
              <w:right w:w="0" w:type="dxa"/>
            </w:tcMar>
            <w:vAlign w:val="center"/>
            <w:hideMark/>
          </w:tcPr>
          <w:p w14:paraId="2591B09C" w14:textId="77777777" w:rsidR="003E42B1" w:rsidRPr="007A2552" w:rsidRDefault="003E42B1" w:rsidP="003E42B1">
            <w:pPr>
              <w:spacing w:before="10" w:after="10"/>
              <w:jc w:val="center"/>
              <w:rPr>
                <w:rFonts w:cs="Calibri"/>
                <w:b/>
                <w:sz w:val="20"/>
                <w:szCs w:val="20"/>
              </w:rPr>
            </w:pPr>
            <w:r w:rsidRPr="007A2552">
              <w:rPr>
                <w:rFonts w:cs="Calibri"/>
                <w:b/>
                <w:sz w:val="20"/>
                <w:szCs w:val="20"/>
              </w:rPr>
              <w:t>3</w:t>
            </w:r>
          </w:p>
        </w:tc>
        <w:tc>
          <w:tcPr>
            <w:tcW w:w="1574" w:type="pct"/>
            <w:vMerge w:val="restart"/>
            <w:tcBorders>
              <w:top w:val="single" w:sz="12" w:space="0" w:color="006666"/>
              <w:left w:val="single" w:sz="12" w:space="0" w:color="006666"/>
              <w:bottom w:val="single" w:sz="12" w:space="0" w:color="006666"/>
              <w:right w:val="single" w:sz="4" w:space="0" w:color="006666"/>
            </w:tcBorders>
            <w:tcMar>
              <w:top w:w="0" w:type="dxa"/>
              <w:left w:w="0" w:type="dxa"/>
              <w:bottom w:w="0" w:type="dxa"/>
              <w:right w:w="0" w:type="dxa"/>
            </w:tcMar>
            <w:vAlign w:val="center"/>
            <w:hideMark/>
          </w:tcPr>
          <w:p w14:paraId="613106C5" w14:textId="77777777" w:rsidR="003E42B1" w:rsidRPr="007A2552" w:rsidRDefault="003E42B1" w:rsidP="003E42B1">
            <w:pPr>
              <w:spacing w:before="10" w:after="10"/>
              <w:jc w:val="left"/>
              <w:rPr>
                <w:rFonts w:cs="Calibri"/>
                <w:b/>
                <w:bCs/>
                <w:sz w:val="20"/>
                <w:szCs w:val="20"/>
              </w:rPr>
            </w:pPr>
            <w:r w:rsidRPr="007A2552">
              <w:rPr>
                <w:rFonts w:cs="Calibri"/>
                <w:b/>
                <w:bCs/>
                <w:sz w:val="20"/>
                <w:szCs w:val="20"/>
              </w:rPr>
              <w:t>Existing households planning to move in next 5 years</w:t>
            </w:r>
          </w:p>
        </w:tc>
        <w:tc>
          <w:tcPr>
            <w:tcW w:w="3153" w:type="pct"/>
            <w:gridSpan w:val="3"/>
            <w:tcBorders>
              <w:top w:val="single" w:sz="12" w:space="0" w:color="006666"/>
              <w:left w:val="single" w:sz="4" w:space="0" w:color="006666"/>
              <w:bottom w:val="single" w:sz="4" w:space="0" w:color="006666"/>
              <w:right w:val="single" w:sz="12" w:space="0" w:color="006666"/>
            </w:tcBorders>
            <w:tcMar>
              <w:top w:w="0" w:type="dxa"/>
              <w:left w:w="0" w:type="dxa"/>
              <w:bottom w:w="0" w:type="dxa"/>
              <w:right w:w="0" w:type="dxa"/>
            </w:tcMar>
            <w:hideMark/>
          </w:tcPr>
          <w:p w14:paraId="30DD92F4" w14:textId="77777777" w:rsidR="003E42B1" w:rsidRPr="007A2552" w:rsidRDefault="003E42B1" w:rsidP="003E42B1">
            <w:pPr>
              <w:spacing w:before="10" w:after="10"/>
              <w:jc w:val="left"/>
              <w:rPr>
                <w:rFonts w:cs="Calibri"/>
                <w:b/>
                <w:sz w:val="20"/>
                <w:szCs w:val="20"/>
              </w:rPr>
            </w:pPr>
            <w:r w:rsidRPr="007A2552">
              <w:rPr>
                <w:rFonts w:cs="Calibri"/>
                <w:b/>
                <w:sz w:val="20"/>
                <w:szCs w:val="20"/>
              </w:rPr>
              <w:t>Currently on sites</w:t>
            </w:r>
          </w:p>
        </w:tc>
      </w:tr>
      <w:tr w:rsidR="003E42B1" w:rsidRPr="007A2552" w14:paraId="5F61E2D4"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2E20F771"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41C16DA3"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3497D9E9"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3a. To another pitch/same site (no net impact)</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408F955D" w14:textId="77777777" w:rsidR="003E42B1" w:rsidRPr="007A2552" w:rsidRDefault="003E42B1" w:rsidP="003E42B1">
            <w:pPr>
              <w:spacing w:before="10" w:after="10"/>
              <w:jc w:val="center"/>
              <w:rPr>
                <w:rFonts w:cs="Calibri"/>
                <w:color w:val="000000"/>
                <w:sz w:val="20"/>
                <w:szCs w:val="20"/>
              </w:rPr>
            </w:pPr>
            <w:r w:rsidRPr="007A2552">
              <w:rPr>
                <w:rFonts w:cs="Calibri"/>
                <w:color w:val="000000"/>
                <w:sz w:val="20"/>
                <w:szCs w:val="20"/>
              </w:rPr>
              <w:t>0</w:t>
            </w:r>
          </w:p>
        </w:tc>
      </w:tr>
      <w:tr w:rsidR="003E42B1" w:rsidRPr="007A2552" w14:paraId="42847CDC"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4947DB3F"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64B2DFDE"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3D433BA3"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3b. To another site in District (no net impact)</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5753BCF2" w14:textId="405BEE34" w:rsidR="003E42B1" w:rsidRPr="007A2552" w:rsidRDefault="00CC777C" w:rsidP="003E42B1">
            <w:pPr>
              <w:spacing w:before="10" w:after="10"/>
              <w:jc w:val="center"/>
              <w:rPr>
                <w:rFonts w:cs="Calibri"/>
                <w:color w:val="000000"/>
                <w:sz w:val="20"/>
                <w:szCs w:val="20"/>
              </w:rPr>
            </w:pPr>
            <w:r w:rsidRPr="007A2552">
              <w:rPr>
                <w:rFonts w:cs="Calibri"/>
                <w:color w:val="000000"/>
                <w:sz w:val="20"/>
                <w:szCs w:val="20"/>
              </w:rPr>
              <w:t>6</w:t>
            </w:r>
          </w:p>
        </w:tc>
      </w:tr>
      <w:tr w:rsidR="003E42B1" w:rsidRPr="007A2552" w14:paraId="2FA63DD3"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6FB6E1CE"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56018C87"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1478F814"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3c. From site to Bricks and Mortar</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7FD1D35B" w14:textId="3F80281E" w:rsidR="003E42B1" w:rsidRPr="007A2552" w:rsidRDefault="00AF21FD" w:rsidP="003E42B1">
            <w:pPr>
              <w:spacing w:before="10" w:after="10"/>
              <w:jc w:val="center"/>
              <w:rPr>
                <w:rFonts w:cs="Calibri"/>
                <w:color w:val="000000"/>
                <w:sz w:val="20"/>
                <w:szCs w:val="20"/>
              </w:rPr>
            </w:pPr>
            <w:r>
              <w:rPr>
                <w:rFonts w:cs="Calibri"/>
                <w:color w:val="000000"/>
                <w:sz w:val="20"/>
                <w:szCs w:val="20"/>
              </w:rPr>
              <w:t>0</w:t>
            </w:r>
          </w:p>
        </w:tc>
      </w:tr>
      <w:tr w:rsidR="003E42B1" w:rsidRPr="007A2552" w14:paraId="29B35DEF"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179E938F"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398F8880"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52746F24"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3d. To a site/bricks and mortar outside District</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57D88D58" w14:textId="629903D7" w:rsidR="003E42B1" w:rsidRPr="007A2552" w:rsidRDefault="00AF21FD" w:rsidP="003E42B1">
            <w:pPr>
              <w:spacing w:before="10" w:after="10"/>
              <w:jc w:val="center"/>
              <w:rPr>
                <w:rFonts w:cs="Calibri"/>
                <w:color w:val="000000"/>
                <w:sz w:val="20"/>
                <w:szCs w:val="20"/>
              </w:rPr>
            </w:pPr>
            <w:r>
              <w:rPr>
                <w:rFonts w:cs="Calibri"/>
                <w:color w:val="000000"/>
                <w:sz w:val="20"/>
                <w:szCs w:val="20"/>
              </w:rPr>
              <w:t>1.4</w:t>
            </w:r>
          </w:p>
        </w:tc>
      </w:tr>
      <w:tr w:rsidR="003E42B1" w:rsidRPr="007A2552" w14:paraId="545FAE45" w14:textId="77777777" w:rsidTr="00B550ED">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6127620E"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3EE990D2" w14:textId="77777777" w:rsidR="003E42B1" w:rsidRPr="007A2552" w:rsidRDefault="003E42B1" w:rsidP="003E42B1">
            <w:pPr>
              <w:spacing w:before="0" w:after="0"/>
              <w:jc w:val="left"/>
              <w:rPr>
                <w:rFonts w:cs="Calibri"/>
                <w:b/>
                <w:bCs/>
                <w:sz w:val="20"/>
                <w:szCs w:val="20"/>
              </w:rPr>
            </w:pPr>
          </w:p>
        </w:tc>
        <w:tc>
          <w:tcPr>
            <w:tcW w:w="3153" w:type="pct"/>
            <w:gridSpan w:val="3"/>
            <w:tcBorders>
              <w:top w:val="single" w:sz="4" w:space="0" w:color="006666"/>
              <w:left w:val="single" w:sz="4" w:space="0" w:color="006666"/>
              <w:bottom w:val="single" w:sz="4" w:space="0" w:color="006666"/>
              <w:right w:val="single" w:sz="12" w:space="0" w:color="006666"/>
            </w:tcBorders>
            <w:tcMar>
              <w:top w:w="0" w:type="dxa"/>
              <w:left w:w="0" w:type="dxa"/>
              <w:bottom w:w="0" w:type="dxa"/>
              <w:right w:w="0" w:type="dxa"/>
            </w:tcMar>
            <w:vAlign w:val="center"/>
            <w:hideMark/>
          </w:tcPr>
          <w:p w14:paraId="2165AB0C" w14:textId="77777777" w:rsidR="003E42B1" w:rsidRPr="007A2552" w:rsidRDefault="003E42B1" w:rsidP="003E42B1">
            <w:pPr>
              <w:spacing w:before="10" w:after="10"/>
              <w:jc w:val="left"/>
              <w:rPr>
                <w:rFonts w:cs="Calibri"/>
                <w:sz w:val="20"/>
                <w:szCs w:val="20"/>
              </w:rPr>
            </w:pPr>
            <w:r w:rsidRPr="007A2552">
              <w:rPr>
                <w:rFonts w:cs="Calibri"/>
                <w:b/>
                <w:bCs/>
                <w:color w:val="000000"/>
                <w:sz w:val="20"/>
                <w:szCs w:val="20"/>
              </w:rPr>
              <w:t>Currently in Bricks and Mortar</w:t>
            </w:r>
            <w:r w:rsidRPr="007A2552">
              <w:rPr>
                <w:rFonts w:cs="Calibri"/>
                <w:color w:val="000000"/>
                <w:sz w:val="20"/>
                <w:szCs w:val="20"/>
              </w:rPr>
              <w:t> </w:t>
            </w:r>
          </w:p>
        </w:tc>
      </w:tr>
      <w:tr w:rsidR="003E42B1" w:rsidRPr="007A2552" w14:paraId="2E8B69BE"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75AD6EC5"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197F7660"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49ED0FA0"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3e. Planning to move to a site in LA</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267D434B" w14:textId="62BBF838" w:rsidR="003E42B1" w:rsidRPr="007A2552" w:rsidRDefault="00F404C0" w:rsidP="003E42B1">
            <w:pPr>
              <w:spacing w:before="10" w:after="10"/>
              <w:jc w:val="center"/>
              <w:rPr>
                <w:rFonts w:cs="Calibri"/>
                <w:color w:val="000000"/>
                <w:sz w:val="20"/>
                <w:szCs w:val="20"/>
              </w:rPr>
            </w:pPr>
            <w:r w:rsidRPr="007A2552">
              <w:rPr>
                <w:rFonts w:cs="Calibri"/>
                <w:color w:val="000000"/>
                <w:sz w:val="20"/>
                <w:szCs w:val="20"/>
              </w:rPr>
              <w:t>6</w:t>
            </w:r>
          </w:p>
        </w:tc>
      </w:tr>
      <w:tr w:rsidR="003E42B1" w:rsidRPr="007A2552" w14:paraId="5B11DECC" w14:textId="77777777" w:rsidTr="00B550ED">
        <w:trPr>
          <w:gridAfter w:val="1"/>
          <w:wAfter w:w="3" w:type="pct"/>
          <w:trHeight w:val="289"/>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35645B2A"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660A3C7D"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31BF6645"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3f. Planning to move to another B&amp;M property</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16C33D43" w14:textId="77777777" w:rsidR="003E42B1" w:rsidRPr="007A2552" w:rsidRDefault="003E42B1" w:rsidP="003E42B1">
            <w:pPr>
              <w:spacing w:before="10" w:after="10"/>
              <w:jc w:val="center"/>
              <w:rPr>
                <w:rFonts w:cs="Calibri"/>
                <w:color w:val="000000"/>
                <w:sz w:val="20"/>
                <w:szCs w:val="20"/>
              </w:rPr>
            </w:pPr>
            <w:r w:rsidRPr="007A2552">
              <w:rPr>
                <w:rFonts w:cs="Calibri"/>
                <w:color w:val="000000"/>
                <w:sz w:val="20"/>
                <w:szCs w:val="20"/>
              </w:rPr>
              <w:t>0</w:t>
            </w:r>
          </w:p>
        </w:tc>
      </w:tr>
      <w:tr w:rsidR="003E42B1" w:rsidRPr="007A2552" w14:paraId="02C02982"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tcPr>
          <w:p w14:paraId="579D1F6F"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tcPr>
          <w:p w14:paraId="41CBD1AC"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tcPr>
          <w:p w14:paraId="43377FFC" w14:textId="77777777" w:rsidR="003E42B1" w:rsidRPr="007A2552" w:rsidRDefault="003E42B1" w:rsidP="003E42B1">
            <w:pPr>
              <w:spacing w:before="10" w:after="10"/>
              <w:jc w:val="left"/>
              <w:rPr>
                <w:rFonts w:cs="Calibri"/>
                <w:b/>
                <w:color w:val="000000"/>
                <w:sz w:val="20"/>
                <w:szCs w:val="20"/>
              </w:rPr>
            </w:pPr>
            <w:r w:rsidRPr="007A2552">
              <w:rPr>
                <w:rFonts w:cs="Calibri"/>
                <w:b/>
                <w:color w:val="000000"/>
                <w:sz w:val="20"/>
                <w:szCs w:val="20"/>
              </w:rPr>
              <w:t>In-migrant households</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tcPr>
          <w:p w14:paraId="4335D1D8" w14:textId="77777777" w:rsidR="003E42B1" w:rsidRPr="007A2552" w:rsidRDefault="003E42B1" w:rsidP="003E42B1">
            <w:pPr>
              <w:spacing w:before="10" w:after="10"/>
              <w:rPr>
                <w:rFonts w:cs="Calibri"/>
                <w:color w:val="000000"/>
                <w:sz w:val="20"/>
                <w:szCs w:val="20"/>
              </w:rPr>
            </w:pPr>
            <w:r w:rsidRPr="007A2552">
              <w:rPr>
                <w:rFonts w:cs="Calibri"/>
                <w:color w:val="000000"/>
                <w:sz w:val="20"/>
                <w:szCs w:val="20"/>
              </w:rPr>
              <w:t xml:space="preserve"> </w:t>
            </w:r>
          </w:p>
        </w:tc>
      </w:tr>
      <w:tr w:rsidR="003E42B1" w:rsidRPr="007A2552" w14:paraId="04262257"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tcPr>
          <w:p w14:paraId="21051222"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tcPr>
          <w:p w14:paraId="5A9554C8"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bottom"/>
          </w:tcPr>
          <w:p w14:paraId="2DE25081" w14:textId="77777777" w:rsidR="003E42B1" w:rsidRPr="007A2552" w:rsidRDefault="003E42B1" w:rsidP="003E42B1">
            <w:pPr>
              <w:spacing w:before="0" w:after="0"/>
              <w:jc w:val="left"/>
              <w:rPr>
                <w:rFonts w:cs="Calibri"/>
                <w:b/>
                <w:bCs/>
                <w:color w:val="000000"/>
                <w:sz w:val="20"/>
                <w:szCs w:val="20"/>
              </w:rPr>
            </w:pPr>
            <w:r w:rsidRPr="007A2552">
              <w:rPr>
                <w:rFonts w:cs="Calibri"/>
                <w:b/>
                <w:bCs/>
                <w:color w:val="000000"/>
                <w:sz w:val="20"/>
                <w:szCs w:val="20"/>
              </w:rPr>
              <w:t>3</w:t>
            </w:r>
            <w:r w:rsidRPr="007A2552">
              <w:rPr>
                <w:rFonts w:cs="Calibri"/>
                <w:bCs/>
                <w:color w:val="000000"/>
                <w:sz w:val="20"/>
                <w:szCs w:val="20"/>
              </w:rPr>
              <w:t>g. Allowance for in-migration</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tcPr>
          <w:p w14:paraId="5E372227" w14:textId="576C91F3" w:rsidR="003E42B1" w:rsidRPr="007A2552" w:rsidRDefault="003E42B1" w:rsidP="003E42B1">
            <w:pPr>
              <w:spacing w:before="10" w:after="10"/>
              <w:jc w:val="center"/>
              <w:rPr>
                <w:rFonts w:cs="Calibri"/>
                <w:bCs/>
                <w:color w:val="000000"/>
                <w:sz w:val="20"/>
                <w:szCs w:val="20"/>
              </w:rPr>
            </w:pPr>
            <w:r w:rsidRPr="007A2552">
              <w:rPr>
                <w:rFonts w:cs="Calibri"/>
                <w:bCs/>
                <w:color w:val="000000"/>
                <w:sz w:val="20"/>
                <w:szCs w:val="20"/>
              </w:rPr>
              <w:t>1</w:t>
            </w:r>
            <w:r w:rsidR="00AF21FD">
              <w:rPr>
                <w:rFonts w:cs="Calibri"/>
                <w:bCs/>
                <w:color w:val="000000"/>
                <w:sz w:val="20"/>
                <w:szCs w:val="20"/>
              </w:rPr>
              <w:t>1.5</w:t>
            </w:r>
          </w:p>
        </w:tc>
      </w:tr>
      <w:tr w:rsidR="003E42B1" w:rsidRPr="007A2552" w14:paraId="17CC6D0E"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460013DC"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0C06B7DE"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12" w:space="0" w:color="006666"/>
              <w:right w:val="single" w:sz="4" w:space="0" w:color="006666"/>
            </w:tcBorders>
            <w:tcMar>
              <w:top w:w="0" w:type="dxa"/>
              <w:left w:w="0" w:type="dxa"/>
              <w:bottom w:w="0" w:type="dxa"/>
              <w:right w:w="0" w:type="dxa"/>
            </w:tcMar>
            <w:vAlign w:val="bottom"/>
            <w:hideMark/>
          </w:tcPr>
          <w:p w14:paraId="78C8640F" w14:textId="77777777" w:rsidR="003E42B1" w:rsidRPr="007A2552" w:rsidRDefault="003E42B1" w:rsidP="003E42B1">
            <w:pPr>
              <w:spacing w:before="0" w:after="0"/>
              <w:jc w:val="left"/>
              <w:rPr>
                <w:rFonts w:cs="Calibri"/>
                <w:b/>
                <w:color w:val="000000"/>
                <w:sz w:val="20"/>
                <w:szCs w:val="20"/>
              </w:rPr>
            </w:pPr>
            <w:r w:rsidRPr="007A2552">
              <w:rPr>
                <w:rFonts w:cs="Calibri"/>
                <w:b/>
                <w:bCs/>
                <w:color w:val="000000"/>
                <w:sz w:val="20"/>
                <w:szCs w:val="20"/>
              </w:rPr>
              <w:t>3h</w:t>
            </w:r>
            <w:r w:rsidRPr="007A2552">
              <w:rPr>
                <w:rFonts w:cs="Calibri"/>
                <w:b/>
                <w:color w:val="000000"/>
                <w:sz w:val="20"/>
                <w:szCs w:val="20"/>
              </w:rPr>
              <w:t>. TOTAL Net impact (-3c-3d+3e+3g)</w:t>
            </w:r>
          </w:p>
        </w:tc>
        <w:tc>
          <w:tcPr>
            <w:tcW w:w="1035" w:type="pct"/>
            <w:tcBorders>
              <w:top w:val="single" w:sz="4" w:space="0" w:color="006666"/>
              <w:left w:val="single" w:sz="4" w:space="0" w:color="006666"/>
              <w:bottom w:val="single" w:sz="12" w:space="0" w:color="006666"/>
              <w:right w:val="single" w:sz="12" w:space="0" w:color="006666"/>
            </w:tcBorders>
            <w:noWrap/>
            <w:tcMar>
              <w:top w:w="0" w:type="dxa"/>
              <w:left w:w="0" w:type="dxa"/>
              <w:bottom w:w="0" w:type="dxa"/>
              <w:right w:w="0" w:type="dxa"/>
            </w:tcMar>
            <w:vAlign w:val="bottom"/>
            <w:hideMark/>
          </w:tcPr>
          <w:p w14:paraId="3AB39E4B" w14:textId="356DEEF4" w:rsidR="003E42B1" w:rsidRPr="007A2552" w:rsidRDefault="00CC777C" w:rsidP="003E42B1">
            <w:pPr>
              <w:spacing w:before="10" w:after="10"/>
              <w:jc w:val="center"/>
              <w:rPr>
                <w:rFonts w:cs="Calibri"/>
                <w:color w:val="FF0000"/>
                <w:sz w:val="20"/>
                <w:szCs w:val="20"/>
              </w:rPr>
            </w:pPr>
            <w:r w:rsidRPr="007A2552">
              <w:rPr>
                <w:rFonts w:cs="Calibri"/>
                <w:color w:val="000000" w:themeColor="text1"/>
                <w:sz w:val="20"/>
                <w:szCs w:val="20"/>
              </w:rPr>
              <w:t>1</w:t>
            </w:r>
            <w:r w:rsidR="00747925">
              <w:rPr>
                <w:rFonts w:cs="Calibri"/>
                <w:color w:val="000000" w:themeColor="text1"/>
                <w:sz w:val="20"/>
                <w:szCs w:val="20"/>
              </w:rPr>
              <w:t>6</w:t>
            </w:r>
          </w:p>
        </w:tc>
      </w:tr>
      <w:tr w:rsidR="003E42B1" w:rsidRPr="007A2552" w14:paraId="26FFFC78" w14:textId="77777777" w:rsidTr="00B550ED">
        <w:trPr>
          <w:gridAfter w:val="1"/>
          <w:wAfter w:w="3" w:type="pct"/>
        </w:trPr>
        <w:tc>
          <w:tcPr>
            <w:tcW w:w="273" w:type="pct"/>
            <w:vMerge w:val="restart"/>
            <w:tcBorders>
              <w:top w:val="single" w:sz="12" w:space="0" w:color="006666"/>
              <w:left w:val="single" w:sz="12" w:space="0" w:color="006666"/>
              <w:bottom w:val="single" w:sz="12" w:space="0" w:color="006666"/>
              <w:right w:val="single" w:sz="12" w:space="0" w:color="006666"/>
            </w:tcBorders>
            <w:noWrap/>
            <w:tcMar>
              <w:top w:w="0" w:type="dxa"/>
              <w:left w:w="0" w:type="dxa"/>
              <w:bottom w:w="0" w:type="dxa"/>
              <w:right w:w="0" w:type="dxa"/>
            </w:tcMar>
            <w:vAlign w:val="center"/>
            <w:hideMark/>
          </w:tcPr>
          <w:p w14:paraId="18806258" w14:textId="2F41F882" w:rsidR="003E42B1" w:rsidRPr="007A2552" w:rsidRDefault="003E42B1" w:rsidP="003E42B1">
            <w:pPr>
              <w:spacing w:before="10" w:after="10"/>
              <w:jc w:val="center"/>
              <w:rPr>
                <w:rFonts w:cs="Calibri"/>
                <w:b/>
                <w:sz w:val="20"/>
                <w:szCs w:val="20"/>
              </w:rPr>
            </w:pPr>
            <w:r w:rsidRPr="007A2552">
              <w:rPr>
                <w:rFonts w:cs="Calibri"/>
                <w:b/>
                <w:sz w:val="20"/>
                <w:szCs w:val="20"/>
              </w:rPr>
              <w:t>4</w:t>
            </w:r>
          </w:p>
        </w:tc>
        <w:tc>
          <w:tcPr>
            <w:tcW w:w="1574" w:type="pct"/>
            <w:vMerge w:val="restart"/>
            <w:tcBorders>
              <w:top w:val="single" w:sz="12" w:space="0" w:color="006666"/>
              <w:left w:val="single" w:sz="12" w:space="0" w:color="006666"/>
              <w:bottom w:val="single" w:sz="12" w:space="0" w:color="006666"/>
              <w:right w:val="single" w:sz="4" w:space="0" w:color="006666"/>
            </w:tcBorders>
            <w:tcMar>
              <w:top w:w="0" w:type="dxa"/>
              <w:left w:w="0" w:type="dxa"/>
              <w:bottom w:w="0" w:type="dxa"/>
              <w:right w:w="0" w:type="dxa"/>
            </w:tcMar>
            <w:vAlign w:val="center"/>
            <w:hideMark/>
          </w:tcPr>
          <w:p w14:paraId="10497C8C" w14:textId="77777777" w:rsidR="003E42B1" w:rsidRPr="007A2552" w:rsidRDefault="003E42B1" w:rsidP="003E42B1">
            <w:pPr>
              <w:spacing w:before="10" w:after="10"/>
              <w:jc w:val="left"/>
              <w:rPr>
                <w:rFonts w:cs="Calibri"/>
                <w:b/>
                <w:bCs/>
                <w:sz w:val="20"/>
                <w:szCs w:val="20"/>
              </w:rPr>
            </w:pPr>
            <w:r w:rsidRPr="007A2552">
              <w:rPr>
                <w:rFonts w:cs="Calibri"/>
                <w:b/>
                <w:bCs/>
                <w:sz w:val="20"/>
                <w:szCs w:val="20"/>
              </w:rPr>
              <w:t>Emerging households (5 years)</w:t>
            </w:r>
          </w:p>
        </w:tc>
        <w:tc>
          <w:tcPr>
            <w:tcW w:w="2115" w:type="pct"/>
            <w:tcBorders>
              <w:top w:val="single" w:sz="12"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6E3BD1A3"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4a. Currently on site and planning to live on current site</w:t>
            </w:r>
          </w:p>
        </w:tc>
        <w:tc>
          <w:tcPr>
            <w:tcW w:w="1035" w:type="pct"/>
            <w:tcBorders>
              <w:top w:val="single" w:sz="12"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07E63EB3" w14:textId="6DF7C457" w:rsidR="003E42B1" w:rsidRPr="007A2552" w:rsidRDefault="00747925" w:rsidP="003E42B1">
            <w:pPr>
              <w:spacing w:before="10" w:after="10"/>
              <w:jc w:val="center"/>
              <w:rPr>
                <w:rFonts w:cs="Calibri"/>
                <w:color w:val="000000"/>
                <w:sz w:val="20"/>
                <w:szCs w:val="20"/>
              </w:rPr>
            </w:pPr>
            <w:r>
              <w:rPr>
                <w:rFonts w:cs="Calibri"/>
                <w:color w:val="000000"/>
                <w:sz w:val="20"/>
                <w:szCs w:val="20"/>
              </w:rPr>
              <w:t>1</w:t>
            </w:r>
            <w:r w:rsidR="00787125">
              <w:rPr>
                <w:rFonts w:cs="Calibri"/>
                <w:color w:val="000000"/>
                <w:sz w:val="20"/>
                <w:szCs w:val="20"/>
              </w:rPr>
              <w:t>0</w:t>
            </w:r>
          </w:p>
        </w:tc>
      </w:tr>
      <w:tr w:rsidR="003E42B1" w:rsidRPr="007A2552" w14:paraId="3CC85674"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45855E36"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287C168F"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3B7A36BA"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4b. Currently on sites and planning to live on another site in LA</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5A92620C" w14:textId="77777777" w:rsidR="003E42B1" w:rsidRPr="007A2552" w:rsidRDefault="003E42B1" w:rsidP="003E42B1">
            <w:pPr>
              <w:spacing w:before="10" w:after="10"/>
              <w:jc w:val="center"/>
              <w:rPr>
                <w:rFonts w:cs="Calibri"/>
                <w:color w:val="000000"/>
                <w:sz w:val="20"/>
                <w:szCs w:val="20"/>
              </w:rPr>
            </w:pPr>
            <w:r w:rsidRPr="007A2552">
              <w:rPr>
                <w:rFonts w:cs="Calibri"/>
                <w:color w:val="000000"/>
                <w:sz w:val="20"/>
                <w:szCs w:val="20"/>
              </w:rPr>
              <w:t>0</w:t>
            </w:r>
          </w:p>
        </w:tc>
      </w:tr>
      <w:tr w:rsidR="003E42B1" w:rsidRPr="007A2552" w14:paraId="22BF4B37"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6CA96FC9"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3B327572"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center"/>
            <w:hideMark/>
          </w:tcPr>
          <w:p w14:paraId="19D060F8" w14:textId="77777777" w:rsidR="003E42B1" w:rsidRPr="007A2552" w:rsidRDefault="003E42B1" w:rsidP="003E42B1">
            <w:pPr>
              <w:spacing w:before="10" w:after="10"/>
              <w:jc w:val="left"/>
              <w:rPr>
                <w:rFonts w:cs="Calibri"/>
                <w:sz w:val="20"/>
                <w:szCs w:val="20"/>
              </w:rPr>
            </w:pPr>
            <w:r w:rsidRPr="007A2552">
              <w:rPr>
                <w:rFonts w:cs="Calibri"/>
                <w:color w:val="000000"/>
                <w:sz w:val="20"/>
                <w:szCs w:val="20"/>
              </w:rPr>
              <w:t>4c. Currently on site and planning to live on site outside the study area</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6A24D9AA" w14:textId="77777777" w:rsidR="003E42B1" w:rsidRPr="007A2552" w:rsidRDefault="003E42B1" w:rsidP="003E42B1">
            <w:pPr>
              <w:spacing w:before="10" w:after="10"/>
              <w:jc w:val="center"/>
              <w:rPr>
                <w:rFonts w:cs="Calibri"/>
                <w:color w:val="000000"/>
                <w:sz w:val="20"/>
                <w:szCs w:val="20"/>
              </w:rPr>
            </w:pPr>
            <w:r w:rsidRPr="007A2552">
              <w:rPr>
                <w:rFonts w:cs="Calibri"/>
                <w:color w:val="000000"/>
                <w:sz w:val="20"/>
                <w:szCs w:val="20"/>
              </w:rPr>
              <w:t>0</w:t>
            </w:r>
          </w:p>
        </w:tc>
      </w:tr>
      <w:tr w:rsidR="003E42B1" w:rsidRPr="007A2552" w14:paraId="03AFA581"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1FB54B82"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091E7B7E"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12" w:space="0" w:color="006666"/>
              <w:right w:val="single" w:sz="4" w:space="0" w:color="006666"/>
            </w:tcBorders>
            <w:tcMar>
              <w:top w:w="0" w:type="dxa"/>
              <w:left w:w="0" w:type="dxa"/>
              <w:bottom w:w="0" w:type="dxa"/>
              <w:right w:w="0" w:type="dxa"/>
            </w:tcMar>
            <w:vAlign w:val="center"/>
            <w:hideMark/>
          </w:tcPr>
          <w:p w14:paraId="71744C44" w14:textId="77777777" w:rsidR="003E42B1" w:rsidRPr="007A2552" w:rsidRDefault="003E42B1" w:rsidP="003E42B1">
            <w:pPr>
              <w:spacing w:before="10" w:after="10"/>
              <w:jc w:val="left"/>
              <w:rPr>
                <w:rFonts w:cs="Calibri"/>
                <w:b/>
                <w:bCs/>
                <w:sz w:val="20"/>
                <w:szCs w:val="20"/>
              </w:rPr>
            </w:pPr>
            <w:r w:rsidRPr="007A2552">
              <w:rPr>
                <w:rFonts w:cs="Calibri"/>
                <w:color w:val="000000"/>
                <w:sz w:val="20"/>
                <w:szCs w:val="20"/>
              </w:rPr>
              <w:t>4d. Currently in B&amp;M planning to move to a site in LA</w:t>
            </w:r>
          </w:p>
        </w:tc>
        <w:tc>
          <w:tcPr>
            <w:tcW w:w="1035" w:type="pct"/>
            <w:tcBorders>
              <w:top w:val="single" w:sz="4" w:space="0" w:color="006666"/>
              <w:left w:val="single" w:sz="4" w:space="0" w:color="006666"/>
              <w:bottom w:val="single" w:sz="12" w:space="0" w:color="006666"/>
              <w:right w:val="single" w:sz="12" w:space="0" w:color="006666"/>
            </w:tcBorders>
            <w:noWrap/>
            <w:tcMar>
              <w:top w:w="0" w:type="dxa"/>
              <w:left w:w="0" w:type="dxa"/>
              <w:bottom w:w="0" w:type="dxa"/>
              <w:right w:w="0" w:type="dxa"/>
            </w:tcMar>
            <w:vAlign w:val="bottom"/>
            <w:hideMark/>
          </w:tcPr>
          <w:p w14:paraId="159EAF16" w14:textId="77777777" w:rsidR="003E42B1" w:rsidRPr="007A2552" w:rsidRDefault="003E42B1" w:rsidP="003E42B1">
            <w:pPr>
              <w:spacing w:before="10" w:after="10"/>
              <w:jc w:val="center"/>
              <w:rPr>
                <w:rFonts w:cs="Calibri"/>
                <w:color w:val="000000"/>
                <w:sz w:val="20"/>
                <w:szCs w:val="20"/>
              </w:rPr>
            </w:pPr>
            <w:r w:rsidRPr="007A2552">
              <w:rPr>
                <w:rFonts w:cs="Calibri"/>
                <w:color w:val="000000"/>
                <w:sz w:val="20"/>
                <w:szCs w:val="20"/>
              </w:rPr>
              <w:t>0</w:t>
            </w:r>
          </w:p>
        </w:tc>
      </w:tr>
      <w:tr w:rsidR="003E42B1" w:rsidRPr="007A2552" w14:paraId="117D1056"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046CF66C"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63363552"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12" w:space="0" w:color="006666"/>
              <w:right w:val="single" w:sz="4" w:space="0" w:color="006666"/>
            </w:tcBorders>
            <w:tcMar>
              <w:top w:w="0" w:type="dxa"/>
              <w:left w:w="0" w:type="dxa"/>
              <w:bottom w:w="0" w:type="dxa"/>
              <w:right w:w="0" w:type="dxa"/>
            </w:tcMar>
            <w:vAlign w:val="center"/>
            <w:hideMark/>
          </w:tcPr>
          <w:p w14:paraId="31A86B73" w14:textId="77777777" w:rsidR="003E42B1" w:rsidRPr="007A2552" w:rsidRDefault="003E42B1" w:rsidP="003E42B1">
            <w:pPr>
              <w:spacing w:before="10" w:after="10"/>
              <w:jc w:val="left"/>
              <w:rPr>
                <w:rFonts w:cs="Calibri"/>
                <w:b/>
                <w:bCs/>
                <w:sz w:val="20"/>
                <w:szCs w:val="20"/>
              </w:rPr>
            </w:pPr>
            <w:r w:rsidRPr="007A2552">
              <w:rPr>
                <w:rFonts w:cs="Calibri"/>
                <w:color w:val="000000"/>
                <w:sz w:val="20"/>
                <w:szCs w:val="20"/>
              </w:rPr>
              <w:t>4e. Currently in B&amp;M and moving to B&amp;M (no net impact)</w:t>
            </w:r>
          </w:p>
        </w:tc>
        <w:tc>
          <w:tcPr>
            <w:tcW w:w="1035" w:type="pct"/>
            <w:tcBorders>
              <w:top w:val="single" w:sz="4" w:space="0" w:color="006666"/>
              <w:left w:val="single" w:sz="4" w:space="0" w:color="006666"/>
              <w:bottom w:val="single" w:sz="12" w:space="0" w:color="006666"/>
              <w:right w:val="single" w:sz="12" w:space="0" w:color="006666"/>
            </w:tcBorders>
            <w:noWrap/>
            <w:tcMar>
              <w:top w:w="0" w:type="dxa"/>
              <w:left w:w="0" w:type="dxa"/>
              <w:bottom w:w="0" w:type="dxa"/>
              <w:right w:w="0" w:type="dxa"/>
            </w:tcMar>
            <w:vAlign w:val="bottom"/>
            <w:hideMark/>
          </w:tcPr>
          <w:p w14:paraId="252EDA65" w14:textId="77777777" w:rsidR="003E42B1" w:rsidRPr="007A2552" w:rsidRDefault="003E42B1" w:rsidP="003E42B1">
            <w:pPr>
              <w:spacing w:before="10" w:after="10"/>
              <w:jc w:val="center"/>
              <w:rPr>
                <w:rFonts w:cs="Calibri"/>
                <w:color w:val="000000"/>
                <w:sz w:val="20"/>
                <w:szCs w:val="20"/>
              </w:rPr>
            </w:pPr>
            <w:r w:rsidRPr="007A2552">
              <w:rPr>
                <w:rFonts w:cs="Calibri"/>
                <w:color w:val="000000"/>
                <w:sz w:val="20"/>
                <w:szCs w:val="20"/>
              </w:rPr>
              <w:t>0</w:t>
            </w:r>
          </w:p>
        </w:tc>
      </w:tr>
      <w:tr w:rsidR="003E42B1" w:rsidRPr="007A2552" w14:paraId="2BE0959F"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05E87D33"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4317CBB8"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12" w:space="0" w:color="006666"/>
              <w:right w:val="single" w:sz="4" w:space="0" w:color="006666"/>
            </w:tcBorders>
            <w:tcMar>
              <w:top w:w="0" w:type="dxa"/>
              <w:left w:w="0" w:type="dxa"/>
              <w:bottom w:w="0" w:type="dxa"/>
              <w:right w:w="0" w:type="dxa"/>
            </w:tcMar>
            <w:vAlign w:val="center"/>
            <w:hideMark/>
          </w:tcPr>
          <w:p w14:paraId="02EF228C" w14:textId="77777777" w:rsidR="003E42B1" w:rsidRPr="007A2552" w:rsidRDefault="003E42B1" w:rsidP="003E42B1">
            <w:pPr>
              <w:spacing w:before="10" w:after="10"/>
              <w:jc w:val="left"/>
              <w:rPr>
                <w:rFonts w:cs="Calibri"/>
                <w:b/>
                <w:bCs/>
                <w:sz w:val="20"/>
                <w:szCs w:val="20"/>
              </w:rPr>
            </w:pPr>
            <w:r w:rsidRPr="007A2552">
              <w:rPr>
                <w:rFonts w:cs="Calibri"/>
                <w:color w:val="000000"/>
                <w:sz w:val="20"/>
                <w:szCs w:val="20"/>
              </w:rPr>
              <w:t>4f. Currently on Site and moving to B&amp;M (no net impact)</w:t>
            </w:r>
          </w:p>
        </w:tc>
        <w:tc>
          <w:tcPr>
            <w:tcW w:w="1035" w:type="pct"/>
            <w:tcBorders>
              <w:top w:val="single" w:sz="4" w:space="0" w:color="006666"/>
              <w:left w:val="single" w:sz="4" w:space="0" w:color="006666"/>
              <w:bottom w:val="single" w:sz="12" w:space="0" w:color="006666"/>
              <w:right w:val="single" w:sz="12" w:space="0" w:color="006666"/>
            </w:tcBorders>
            <w:noWrap/>
            <w:tcMar>
              <w:top w:w="0" w:type="dxa"/>
              <w:left w:w="0" w:type="dxa"/>
              <w:bottom w:w="0" w:type="dxa"/>
              <w:right w:w="0" w:type="dxa"/>
            </w:tcMar>
            <w:vAlign w:val="bottom"/>
            <w:hideMark/>
          </w:tcPr>
          <w:p w14:paraId="2B0CFA07" w14:textId="77777777" w:rsidR="003E42B1" w:rsidRPr="007A2552" w:rsidRDefault="003E42B1" w:rsidP="003E42B1">
            <w:pPr>
              <w:spacing w:before="10" w:after="10"/>
              <w:jc w:val="center"/>
              <w:rPr>
                <w:rFonts w:cs="Calibri"/>
                <w:color w:val="000000"/>
                <w:sz w:val="20"/>
                <w:szCs w:val="20"/>
              </w:rPr>
            </w:pPr>
            <w:r w:rsidRPr="007A2552">
              <w:rPr>
                <w:rFonts w:cs="Calibri"/>
                <w:color w:val="000000"/>
                <w:sz w:val="20"/>
                <w:szCs w:val="20"/>
              </w:rPr>
              <w:t>0</w:t>
            </w:r>
          </w:p>
        </w:tc>
      </w:tr>
      <w:tr w:rsidR="003E42B1" w:rsidRPr="007A2552" w14:paraId="71F3A16C" w14:textId="77777777" w:rsidTr="00B550ED">
        <w:trPr>
          <w:gridAfter w:val="1"/>
          <w:wAfter w:w="3" w:type="pct"/>
        </w:trPr>
        <w:tc>
          <w:tcPr>
            <w:tcW w:w="273" w:type="pct"/>
            <w:vMerge/>
            <w:tcBorders>
              <w:top w:val="single" w:sz="12" w:space="0" w:color="006666"/>
              <w:left w:val="single" w:sz="12" w:space="0" w:color="006666"/>
              <w:bottom w:val="single" w:sz="12" w:space="0" w:color="006666"/>
              <w:right w:val="single" w:sz="12" w:space="0" w:color="006666"/>
            </w:tcBorders>
            <w:vAlign w:val="center"/>
            <w:hideMark/>
          </w:tcPr>
          <w:p w14:paraId="61D8AC48"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12" w:space="0" w:color="006666"/>
              <w:right w:val="single" w:sz="4" w:space="0" w:color="006666"/>
            </w:tcBorders>
            <w:vAlign w:val="center"/>
            <w:hideMark/>
          </w:tcPr>
          <w:p w14:paraId="505636D9"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12" w:space="0" w:color="006666"/>
              <w:right w:val="single" w:sz="4" w:space="0" w:color="006666"/>
            </w:tcBorders>
            <w:tcMar>
              <w:top w:w="0" w:type="dxa"/>
              <w:left w:w="0" w:type="dxa"/>
              <w:bottom w:w="0" w:type="dxa"/>
              <w:right w:w="0" w:type="dxa"/>
            </w:tcMar>
            <w:vAlign w:val="center"/>
            <w:hideMark/>
          </w:tcPr>
          <w:p w14:paraId="168303DE" w14:textId="77777777" w:rsidR="003E42B1" w:rsidRPr="007A2552" w:rsidRDefault="003E42B1" w:rsidP="003E42B1">
            <w:pPr>
              <w:spacing w:before="0" w:after="0"/>
              <w:jc w:val="left"/>
              <w:rPr>
                <w:rFonts w:cs="Calibri"/>
                <w:b/>
                <w:bCs/>
                <w:color w:val="000000"/>
                <w:sz w:val="20"/>
                <w:szCs w:val="20"/>
              </w:rPr>
            </w:pPr>
            <w:r w:rsidRPr="007A2552">
              <w:rPr>
                <w:rFonts w:cs="Calibri"/>
                <w:b/>
                <w:bCs/>
                <w:color w:val="000000"/>
                <w:sz w:val="20"/>
                <w:szCs w:val="20"/>
              </w:rPr>
              <w:t>4g. TOTAL Net impact (4a+4b-4c+4d)</w:t>
            </w:r>
          </w:p>
        </w:tc>
        <w:tc>
          <w:tcPr>
            <w:tcW w:w="1035" w:type="pct"/>
            <w:tcBorders>
              <w:top w:val="single" w:sz="4" w:space="0" w:color="006666"/>
              <w:left w:val="single" w:sz="4" w:space="0" w:color="006666"/>
              <w:bottom w:val="single" w:sz="12" w:space="0" w:color="006666"/>
              <w:right w:val="single" w:sz="12" w:space="0" w:color="006666"/>
            </w:tcBorders>
            <w:noWrap/>
            <w:tcMar>
              <w:top w:w="0" w:type="dxa"/>
              <w:left w:w="0" w:type="dxa"/>
              <w:bottom w:w="0" w:type="dxa"/>
              <w:right w:w="0" w:type="dxa"/>
            </w:tcMar>
            <w:vAlign w:val="bottom"/>
            <w:hideMark/>
          </w:tcPr>
          <w:p w14:paraId="3B3817BE" w14:textId="4F6DA8F2" w:rsidR="003E42B1" w:rsidRPr="007A2552" w:rsidRDefault="00747925" w:rsidP="003E42B1">
            <w:pPr>
              <w:spacing w:before="10" w:after="10"/>
              <w:jc w:val="center"/>
              <w:rPr>
                <w:rFonts w:cs="Calibri"/>
                <w:b/>
                <w:color w:val="000000"/>
                <w:sz w:val="20"/>
                <w:szCs w:val="20"/>
              </w:rPr>
            </w:pPr>
            <w:r>
              <w:rPr>
                <w:rFonts w:cs="Calibri"/>
                <w:b/>
                <w:color w:val="000000"/>
                <w:sz w:val="20"/>
                <w:szCs w:val="20"/>
              </w:rPr>
              <w:t>1</w:t>
            </w:r>
            <w:r w:rsidR="00787125">
              <w:rPr>
                <w:rFonts w:cs="Calibri"/>
                <w:b/>
                <w:color w:val="000000"/>
                <w:sz w:val="20"/>
                <w:szCs w:val="20"/>
              </w:rPr>
              <w:t>0</w:t>
            </w:r>
          </w:p>
        </w:tc>
      </w:tr>
      <w:tr w:rsidR="003E42B1" w:rsidRPr="007A2552" w14:paraId="2688D436" w14:textId="77777777" w:rsidTr="00B550ED">
        <w:trPr>
          <w:gridAfter w:val="1"/>
          <w:wAfter w:w="3" w:type="pct"/>
        </w:trPr>
        <w:tc>
          <w:tcPr>
            <w:tcW w:w="273" w:type="pct"/>
            <w:tcBorders>
              <w:top w:val="single" w:sz="12" w:space="0" w:color="006666"/>
              <w:left w:val="single" w:sz="12" w:space="0" w:color="006666"/>
              <w:bottom w:val="single" w:sz="12" w:space="0" w:color="006666"/>
              <w:right w:val="single" w:sz="12" w:space="0" w:color="006666"/>
            </w:tcBorders>
            <w:noWrap/>
            <w:tcMar>
              <w:top w:w="0" w:type="dxa"/>
              <w:left w:w="0" w:type="dxa"/>
              <w:bottom w:w="0" w:type="dxa"/>
              <w:right w:w="0" w:type="dxa"/>
            </w:tcMar>
            <w:vAlign w:val="center"/>
            <w:hideMark/>
          </w:tcPr>
          <w:p w14:paraId="2A849E6D" w14:textId="77777777" w:rsidR="003E42B1" w:rsidRPr="007A2552" w:rsidRDefault="003E42B1" w:rsidP="003E42B1">
            <w:pPr>
              <w:spacing w:before="10" w:after="10"/>
              <w:jc w:val="center"/>
              <w:rPr>
                <w:rFonts w:cs="Calibri"/>
                <w:b/>
                <w:sz w:val="20"/>
                <w:szCs w:val="20"/>
              </w:rPr>
            </w:pPr>
            <w:r w:rsidRPr="007A2552">
              <w:rPr>
                <w:rFonts w:cs="Calibri"/>
                <w:b/>
                <w:sz w:val="20"/>
                <w:szCs w:val="20"/>
              </w:rPr>
              <w:t>5</w:t>
            </w:r>
          </w:p>
        </w:tc>
        <w:tc>
          <w:tcPr>
            <w:tcW w:w="1574" w:type="pct"/>
            <w:tcBorders>
              <w:top w:val="single" w:sz="12" w:space="0" w:color="006666"/>
              <w:left w:val="single" w:sz="12" w:space="0" w:color="006666"/>
              <w:bottom w:val="single" w:sz="12" w:space="0" w:color="006666"/>
              <w:right w:val="single" w:sz="4" w:space="0" w:color="006666"/>
            </w:tcBorders>
            <w:tcMar>
              <w:top w:w="0" w:type="dxa"/>
              <w:left w:w="0" w:type="dxa"/>
              <w:bottom w:w="0" w:type="dxa"/>
              <w:right w:w="0" w:type="dxa"/>
            </w:tcMar>
            <w:vAlign w:val="center"/>
            <w:hideMark/>
          </w:tcPr>
          <w:p w14:paraId="3CBE8E8B" w14:textId="77777777" w:rsidR="003E42B1" w:rsidRPr="007A2552" w:rsidRDefault="003E42B1" w:rsidP="003E42B1">
            <w:pPr>
              <w:spacing w:before="10" w:after="10"/>
              <w:rPr>
                <w:rFonts w:cs="Calibri"/>
                <w:b/>
                <w:bCs/>
                <w:sz w:val="20"/>
                <w:szCs w:val="20"/>
              </w:rPr>
            </w:pPr>
            <w:r w:rsidRPr="007A2552">
              <w:rPr>
                <w:rFonts w:cs="Calibri"/>
                <w:b/>
                <w:bCs/>
                <w:sz w:val="20"/>
                <w:szCs w:val="20"/>
              </w:rPr>
              <w:t>Total Need</w:t>
            </w:r>
          </w:p>
        </w:tc>
        <w:tc>
          <w:tcPr>
            <w:tcW w:w="2115" w:type="pct"/>
            <w:tcBorders>
              <w:top w:val="single" w:sz="12" w:space="0" w:color="006666"/>
              <w:left w:val="single" w:sz="4" w:space="0" w:color="006666"/>
              <w:bottom w:val="single" w:sz="12" w:space="0" w:color="006666"/>
              <w:right w:val="single" w:sz="4" w:space="0" w:color="006666"/>
            </w:tcBorders>
            <w:tcMar>
              <w:top w:w="0" w:type="dxa"/>
              <w:left w:w="0" w:type="dxa"/>
              <w:bottom w:w="0" w:type="dxa"/>
              <w:right w:w="0" w:type="dxa"/>
            </w:tcMar>
            <w:vAlign w:val="center"/>
            <w:hideMark/>
          </w:tcPr>
          <w:p w14:paraId="756F4741" w14:textId="257CFD74" w:rsidR="003E42B1" w:rsidRPr="007A2552" w:rsidRDefault="003E42B1" w:rsidP="003E42B1">
            <w:pPr>
              <w:spacing w:before="10" w:after="10"/>
              <w:jc w:val="left"/>
              <w:rPr>
                <w:rFonts w:cs="Calibri"/>
                <w:b/>
                <w:sz w:val="20"/>
                <w:szCs w:val="20"/>
              </w:rPr>
            </w:pPr>
            <w:r w:rsidRPr="007A2552">
              <w:rPr>
                <w:rFonts w:cs="Calibri"/>
                <w:b/>
                <w:sz w:val="20"/>
                <w:szCs w:val="20"/>
              </w:rPr>
              <w:t>1</w:t>
            </w:r>
            <w:r w:rsidR="00CC777C" w:rsidRPr="007A2552">
              <w:rPr>
                <w:rFonts w:cs="Calibri"/>
                <w:b/>
                <w:sz w:val="20"/>
                <w:szCs w:val="20"/>
              </w:rPr>
              <w:t>e</w:t>
            </w:r>
            <w:r w:rsidRPr="007A2552">
              <w:rPr>
                <w:rFonts w:cs="Calibri"/>
                <w:b/>
                <w:sz w:val="20"/>
                <w:szCs w:val="20"/>
              </w:rPr>
              <w:t>+3h+4g</w:t>
            </w:r>
            <w:r w:rsidR="00933973" w:rsidRPr="007A2552">
              <w:rPr>
                <w:rFonts w:cs="Calibri"/>
                <w:b/>
                <w:bCs/>
                <w:color w:val="FF0000"/>
                <w:sz w:val="20"/>
                <w:szCs w:val="20"/>
              </w:rPr>
              <w:t xml:space="preserve"> </w:t>
            </w:r>
          </w:p>
        </w:tc>
        <w:tc>
          <w:tcPr>
            <w:tcW w:w="1035" w:type="pct"/>
            <w:tcBorders>
              <w:top w:val="single" w:sz="12" w:space="0" w:color="006666"/>
              <w:left w:val="single" w:sz="4" w:space="0" w:color="006666"/>
              <w:bottom w:val="single" w:sz="12" w:space="0" w:color="006666"/>
              <w:right w:val="single" w:sz="12" w:space="0" w:color="006666"/>
            </w:tcBorders>
            <w:noWrap/>
            <w:tcMar>
              <w:top w:w="0" w:type="dxa"/>
              <w:left w:w="0" w:type="dxa"/>
              <w:bottom w:w="0" w:type="dxa"/>
              <w:right w:w="0" w:type="dxa"/>
            </w:tcMar>
            <w:vAlign w:val="center"/>
            <w:hideMark/>
          </w:tcPr>
          <w:p w14:paraId="490D83DF" w14:textId="6F145E6E" w:rsidR="003E42B1" w:rsidRPr="007A2552" w:rsidRDefault="00747925" w:rsidP="003E42B1">
            <w:pPr>
              <w:spacing w:before="10" w:after="10"/>
              <w:jc w:val="center"/>
              <w:rPr>
                <w:rFonts w:cs="Calibri"/>
                <w:b/>
                <w:bCs/>
                <w:color w:val="FF0000"/>
                <w:sz w:val="20"/>
                <w:szCs w:val="20"/>
              </w:rPr>
            </w:pPr>
            <w:r w:rsidRPr="00747925">
              <w:rPr>
                <w:rFonts w:cs="Calibri"/>
                <w:b/>
                <w:bCs/>
                <w:color w:val="000000" w:themeColor="text1"/>
                <w:sz w:val="20"/>
                <w:szCs w:val="20"/>
              </w:rPr>
              <w:t>6</w:t>
            </w:r>
            <w:r w:rsidR="00787125">
              <w:rPr>
                <w:rFonts w:cs="Calibri"/>
                <w:b/>
                <w:bCs/>
                <w:color w:val="000000" w:themeColor="text1"/>
                <w:sz w:val="20"/>
                <w:szCs w:val="20"/>
              </w:rPr>
              <w:t>2</w:t>
            </w:r>
          </w:p>
        </w:tc>
      </w:tr>
      <w:tr w:rsidR="003E42B1" w:rsidRPr="007A2552" w14:paraId="7B30EC30" w14:textId="77777777" w:rsidTr="00B550ED">
        <w:tc>
          <w:tcPr>
            <w:tcW w:w="5000" w:type="pct"/>
            <w:gridSpan w:val="5"/>
            <w:tcBorders>
              <w:top w:val="single" w:sz="12" w:space="0" w:color="006666"/>
              <w:left w:val="single" w:sz="12" w:space="0" w:color="006666"/>
              <w:bottom w:val="single" w:sz="12" w:space="0" w:color="006666"/>
              <w:right w:val="single" w:sz="12" w:space="0" w:color="006666"/>
            </w:tcBorders>
            <w:shd w:val="clear" w:color="auto" w:fill="009999"/>
            <w:noWrap/>
            <w:tcMar>
              <w:top w:w="0" w:type="dxa"/>
              <w:left w:w="0" w:type="dxa"/>
              <w:bottom w:w="0" w:type="dxa"/>
              <w:right w:w="0" w:type="dxa"/>
            </w:tcMar>
            <w:vAlign w:val="center"/>
            <w:hideMark/>
          </w:tcPr>
          <w:p w14:paraId="6A41D90E" w14:textId="77777777" w:rsidR="003E42B1" w:rsidRPr="007A2552" w:rsidRDefault="003E42B1" w:rsidP="003E42B1">
            <w:pPr>
              <w:spacing w:before="10" w:after="10"/>
              <w:jc w:val="left"/>
              <w:rPr>
                <w:rFonts w:cs="Calibri"/>
                <w:b/>
                <w:color w:val="FFFFFF"/>
                <w:sz w:val="20"/>
                <w:szCs w:val="20"/>
              </w:rPr>
            </w:pPr>
            <w:r w:rsidRPr="007A2552">
              <w:rPr>
                <w:rFonts w:cs="Calibri"/>
                <w:b/>
                <w:bCs/>
                <w:color w:val="FFFFFF"/>
                <w:sz w:val="20"/>
                <w:szCs w:val="20"/>
              </w:rPr>
              <w:t>SUPPLY</w:t>
            </w:r>
          </w:p>
        </w:tc>
      </w:tr>
      <w:tr w:rsidR="003E42B1" w:rsidRPr="007A2552" w14:paraId="345C369D" w14:textId="77777777" w:rsidTr="00B550ED">
        <w:trPr>
          <w:gridAfter w:val="1"/>
          <w:wAfter w:w="3" w:type="pct"/>
        </w:trPr>
        <w:tc>
          <w:tcPr>
            <w:tcW w:w="273" w:type="pct"/>
            <w:vMerge w:val="restart"/>
            <w:tcBorders>
              <w:top w:val="single" w:sz="12" w:space="0" w:color="006666"/>
              <w:left w:val="single" w:sz="12" w:space="0" w:color="006666"/>
              <w:bottom w:val="single" w:sz="4" w:space="0" w:color="006666"/>
              <w:right w:val="single" w:sz="12" w:space="0" w:color="006666"/>
            </w:tcBorders>
            <w:noWrap/>
            <w:tcMar>
              <w:top w:w="0" w:type="dxa"/>
              <w:left w:w="0" w:type="dxa"/>
              <w:bottom w:w="0" w:type="dxa"/>
              <w:right w:w="0" w:type="dxa"/>
            </w:tcMar>
            <w:vAlign w:val="center"/>
            <w:hideMark/>
          </w:tcPr>
          <w:p w14:paraId="1EE1E22E" w14:textId="77777777" w:rsidR="003E42B1" w:rsidRPr="007A2552" w:rsidRDefault="003E42B1" w:rsidP="003E42B1">
            <w:pPr>
              <w:spacing w:before="10" w:after="10"/>
              <w:jc w:val="center"/>
              <w:rPr>
                <w:rFonts w:cs="Calibri"/>
                <w:b/>
                <w:sz w:val="20"/>
                <w:szCs w:val="20"/>
              </w:rPr>
            </w:pPr>
            <w:r w:rsidRPr="007A2552">
              <w:rPr>
                <w:rFonts w:cs="Calibri"/>
                <w:b/>
                <w:sz w:val="20"/>
                <w:szCs w:val="20"/>
              </w:rPr>
              <w:t>6</w:t>
            </w:r>
          </w:p>
        </w:tc>
        <w:tc>
          <w:tcPr>
            <w:tcW w:w="1574" w:type="pct"/>
            <w:vMerge w:val="restart"/>
            <w:tcBorders>
              <w:top w:val="single" w:sz="12" w:space="0" w:color="006666"/>
              <w:left w:val="single" w:sz="12" w:space="0" w:color="006666"/>
              <w:bottom w:val="single" w:sz="4" w:space="0" w:color="006666"/>
              <w:right w:val="single" w:sz="4" w:space="0" w:color="006666"/>
            </w:tcBorders>
            <w:tcMar>
              <w:top w:w="0" w:type="dxa"/>
              <w:left w:w="0" w:type="dxa"/>
              <w:bottom w:w="0" w:type="dxa"/>
              <w:right w:w="0" w:type="dxa"/>
            </w:tcMar>
            <w:vAlign w:val="center"/>
            <w:hideMark/>
          </w:tcPr>
          <w:p w14:paraId="5AAEB22F" w14:textId="77777777" w:rsidR="003E42B1" w:rsidRPr="007A2552" w:rsidRDefault="003E42B1" w:rsidP="003E42B1">
            <w:pPr>
              <w:spacing w:before="10" w:after="10"/>
              <w:jc w:val="left"/>
              <w:rPr>
                <w:rFonts w:cs="Calibri"/>
                <w:b/>
                <w:bCs/>
                <w:sz w:val="20"/>
                <w:szCs w:val="20"/>
              </w:rPr>
            </w:pPr>
            <w:r w:rsidRPr="007A2552">
              <w:rPr>
                <w:rFonts w:cs="Calibri"/>
                <w:b/>
                <w:bCs/>
                <w:sz w:val="20"/>
                <w:szCs w:val="20"/>
              </w:rPr>
              <w:t>Current supply of authorised pitches</w:t>
            </w:r>
          </w:p>
        </w:tc>
        <w:tc>
          <w:tcPr>
            <w:tcW w:w="2115" w:type="pct"/>
            <w:tcBorders>
              <w:top w:val="single" w:sz="12" w:space="0" w:color="006666"/>
              <w:left w:val="single" w:sz="4" w:space="0" w:color="006666"/>
              <w:bottom w:val="single" w:sz="4" w:space="0" w:color="006666"/>
              <w:right w:val="single" w:sz="4" w:space="0" w:color="006666"/>
            </w:tcBorders>
            <w:tcMar>
              <w:top w:w="0" w:type="dxa"/>
              <w:left w:w="0" w:type="dxa"/>
              <w:bottom w:w="0" w:type="dxa"/>
              <w:right w:w="0" w:type="dxa"/>
            </w:tcMar>
            <w:vAlign w:val="bottom"/>
            <w:hideMark/>
          </w:tcPr>
          <w:p w14:paraId="7AF6AD1B" w14:textId="7A570DD0" w:rsidR="003E42B1" w:rsidRPr="007A2552" w:rsidRDefault="003E42B1" w:rsidP="003E42B1">
            <w:pPr>
              <w:spacing w:before="10" w:after="10"/>
              <w:jc w:val="left"/>
              <w:rPr>
                <w:rFonts w:cs="Calibri"/>
                <w:sz w:val="20"/>
                <w:szCs w:val="20"/>
              </w:rPr>
            </w:pPr>
            <w:r w:rsidRPr="007A2552">
              <w:rPr>
                <w:rFonts w:cs="Calibri"/>
                <w:color w:val="000000"/>
                <w:sz w:val="20"/>
                <w:szCs w:val="20"/>
              </w:rPr>
              <w:t>6a</w:t>
            </w:r>
            <w:r w:rsidR="00CD4F25">
              <w:rPr>
                <w:rFonts w:cs="Calibri"/>
                <w:color w:val="000000"/>
                <w:sz w:val="20"/>
                <w:szCs w:val="20"/>
              </w:rPr>
              <w:t>.</w:t>
            </w:r>
            <w:r w:rsidRPr="007A2552">
              <w:rPr>
                <w:rFonts w:cs="Calibri"/>
                <w:color w:val="000000"/>
                <w:sz w:val="20"/>
                <w:szCs w:val="20"/>
              </w:rPr>
              <w:t xml:space="preserve"> Current occupied authorised pitches</w:t>
            </w:r>
          </w:p>
        </w:tc>
        <w:tc>
          <w:tcPr>
            <w:tcW w:w="1035" w:type="pct"/>
            <w:tcBorders>
              <w:top w:val="single" w:sz="12"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645BE48F" w14:textId="47E07DE7" w:rsidR="003E42B1" w:rsidRPr="007A2552" w:rsidRDefault="00CC777C" w:rsidP="003E42B1">
            <w:pPr>
              <w:spacing w:before="10" w:after="10"/>
              <w:jc w:val="center"/>
              <w:rPr>
                <w:rFonts w:cs="Calibri"/>
                <w:bCs/>
                <w:color w:val="000000"/>
                <w:sz w:val="20"/>
                <w:szCs w:val="20"/>
              </w:rPr>
            </w:pPr>
            <w:r w:rsidRPr="007A2552">
              <w:rPr>
                <w:rFonts w:cs="Calibri"/>
                <w:bCs/>
                <w:color w:val="000000"/>
                <w:sz w:val="20"/>
                <w:szCs w:val="20"/>
              </w:rPr>
              <w:t>33</w:t>
            </w:r>
          </w:p>
        </w:tc>
      </w:tr>
      <w:tr w:rsidR="003E42B1" w:rsidRPr="007A2552" w14:paraId="67579784" w14:textId="77777777" w:rsidTr="00B550ED">
        <w:trPr>
          <w:gridAfter w:val="1"/>
          <w:wAfter w:w="3" w:type="pct"/>
        </w:trPr>
        <w:tc>
          <w:tcPr>
            <w:tcW w:w="273" w:type="pct"/>
            <w:vMerge/>
            <w:tcBorders>
              <w:top w:val="single" w:sz="12" w:space="0" w:color="006666"/>
              <w:left w:val="single" w:sz="12" w:space="0" w:color="006666"/>
              <w:bottom w:val="single" w:sz="4" w:space="0" w:color="006666"/>
              <w:right w:val="single" w:sz="12" w:space="0" w:color="006666"/>
            </w:tcBorders>
            <w:vAlign w:val="center"/>
            <w:hideMark/>
          </w:tcPr>
          <w:p w14:paraId="50A7F7C1"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4" w:space="0" w:color="006666"/>
              <w:right w:val="single" w:sz="4" w:space="0" w:color="006666"/>
            </w:tcBorders>
            <w:vAlign w:val="center"/>
            <w:hideMark/>
          </w:tcPr>
          <w:p w14:paraId="56D89555"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bottom"/>
            <w:hideMark/>
          </w:tcPr>
          <w:p w14:paraId="4DE5BF23" w14:textId="78B9E00B" w:rsidR="003E42B1" w:rsidRPr="007A2552" w:rsidRDefault="003E42B1" w:rsidP="003E42B1">
            <w:pPr>
              <w:spacing w:before="10" w:after="10"/>
              <w:jc w:val="left"/>
              <w:rPr>
                <w:rFonts w:cs="Calibri"/>
                <w:color w:val="000000"/>
                <w:sz w:val="20"/>
                <w:szCs w:val="20"/>
              </w:rPr>
            </w:pPr>
            <w:r w:rsidRPr="007A2552">
              <w:rPr>
                <w:rFonts w:cs="Calibri"/>
                <w:color w:val="000000"/>
                <w:sz w:val="20"/>
                <w:szCs w:val="20"/>
              </w:rPr>
              <w:t>6b</w:t>
            </w:r>
            <w:r w:rsidR="00CD4F25">
              <w:rPr>
                <w:rFonts w:cs="Calibri"/>
                <w:color w:val="000000"/>
                <w:sz w:val="20"/>
                <w:szCs w:val="20"/>
              </w:rPr>
              <w:t>.</w:t>
            </w:r>
            <w:r w:rsidRPr="007A2552">
              <w:rPr>
                <w:rFonts w:cs="Calibri"/>
                <w:color w:val="000000"/>
                <w:sz w:val="20"/>
                <w:szCs w:val="20"/>
              </w:rPr>
              <w:t xml:space="preserve"> Authorised pitches </w:t>
            </w:r>
            <w:r w:rsidR="00CC777C" w:rsidRPr="007A2552">
              <w:rPr>
                <w:rFonts w:cs="Calibri"/>
                <w:color w:val="000000"/>
                <w:sz w:val="20"/>
                <w:szCs w:val="20"/>
              </w:rPr>
              <w:t>currently being refurbished</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01E272B7" w14:textId="0CC8EF37" w:rsidR="003E42B1" w:rsidRPr="007A2552" w:rsidRDefault="00F404C0" w:rsidP="003E42B1">
            <w:pPr>
              <w:spacing w:before="10" w:after="10"/>
              <w:jc w:val="center"/>
              <w:rPr>
                <w:rFonts w:cs="Calibri"/>
                <w:color w:val="000000"/>
                <w:sz w:val="20"/>
                <w:szCs w:val="20"/>
              </w:rPr>
            </w:pPr>
            <w:r w:rsidRPr="007A2552">
              <w:rPr>
                <w:rFonts w:cs="Calibri"/>
                <w:color w:val="000000"/>
                <w:sz w:val="20"/>
                <w:szCs w:val="20"/>
              </w:rPr>
              <w:t>9</w:t>
            </w:r>
          </w:p>
        </w:tc>
      </w:tr>
      <w:tr w:rsidR="003E42B1" w:rsidRPr="007A2552" w14:paraId="710E1522" w14:textId="77777777" w:rsidTr="00B550ED">
        <w:trPr>
          <w:gridAfter w:val="1"/>
          <w:wAfter w:w="3" w:type="pct"/>
        </w:trPr>
        <w:tc>
          <w:tcPr>
            <w:tcW w:w="273" w:type="pct"/>
            <w:vMerge/>
            <w:tcBorders>
              <w:top w:val="single" w:sz="12" w:space="0" w:color="006666"/>
              <w:left w:val="single" w:sz="12" w:space="0" w:color="006666"/>
              <w:bottom w:val="single" w:sz="4" w:space="0" w:color="006666"/>
              <w:right w:val="single" w:sz="12" w:space="0" w:color="006666"/>
            </w:tcBorders>
            <w:vAlign w:val="center"/>
            <w:hideMark/>
          </w:tcPr>
          <w:p w14:paraId="265C9646" w14:textId="77777777" w:rsidR="003E42B1" w:rsidRPr="007A2552" w:rsidRDefault="003E42B1" w:rsidP="003E42B1">
            <w:pPr>
              <w:spacing w:before="0" w:after="0"/>
              <w:jc w:val="left"/>
              <w:rPr>
                <w:rFonts w:cs="Calibri"/>
                <w:b/>
                <w:sz w:val="20"/>
                <w:szCs w:val="20"/>
              </w:rPr>
            </w:pPr>
          </w:p>
        </w:tc>
        <w:tc>
          <w:tcPr>
            <w:tcW w:w="1574" w:type="pct"/>
            <w:vMerge/>
            <w:tcBorders>
              <w:top w:val="single" w:sz="12" w:space="0" w:color="006666"/>
              <w:left w:val="single" w:sz="12" w:space="0" w:color="006666"/>
              <w:bottom w:val="single" w:sz="4" w:space="0" w:color="006666"/>
              <w:right w:val="single" w:sz="4" w:space="0" w:color="006666"/>
            </w:tcBorders>
            <w:vAlign w:val="center"/>
            <w:hideMark/>
          </w:tcPr>
          <w:p w14:paraId="48FDB473" w14:textId="77777777" w:rsidR="003E42B1" w:rsidRPr="007A2552" w:rsidRDefault="003E42B1" w:rsidP="003E42B1">
            <w:pPr>
              <w:spacing w:before="0" w:after="0"/>
              <w:jc w:val="left"/>
              <w:rPr>
                <w:rFonts w:cs="Calibri"/>
                <w:b/>
                <w:bCs/>
                <w:sz w:val="20"/>
                <w:szCs w:val="20"/>
              </w:rPr>
            </w:pPr>
          </w:p>
        </w:tc>
        <w:tc>
          <w:tcPr>
            <w:tcW w:w="2115" w:type="pct"/>
            <w:tcBorders>
              <w:top w:val="single" w:sz="4" w:space="0" w:color="006666"/>
              <w:left w:val="single" w:sz="4" w:space="0" w:color="006666"/>
              <w:bottom w:val="single" w:sz="4" w:space="0" w:color="006666"/>
              <w:right w:val="single" w:sz="4" w:space="0" w:color="006666"/>
            </w:tcBorders>
            <w:tcMar>
              <w:top w:w="0" w:type="dxa"/>
              <w:left w:w="0" w:type="dxa"/>
              <w:bottom w:w="0" w:type="dxa"/>
              <w:right w:w="0" w:type="dxa"/>
            </w:tcMar>
            <w:vAlign w:val="bottom"/>
            <w:hideMark/>
          </w:tcPr>
          <w:p w14:paraId="48008262" w14:textId="77777777" w:rsidR="003E42B1" w:rsidRPr="007A2552" w:rsidRDefault="003E42B1" w:rsidP="003E42B1">
            <w:pPr>
              <w:spacing w:before="10" w:after="10"/>
              <w:jc w:val="left"/>
              <w:rPr>
                <w:rFonts w:cs="Calibri"/>
                <w:b/>
                <w:sz w:val="20"/>
                <w:szCs w:val="20"/>
              </w:rPr>
            </w:pPr>
            <w:r w:rsidRPr="007A2552">
              <w:rPr>
                <w:rFonts w:cs="Calibri"/>
                <w:b/>
                <w:color w:val="000000"/>
                <w:sz w:val="20"/>
                <w:szCs w:val="20"/>
              </w:rPr>
              <w:t xml:space="preserve">6c. Total current authorised supply (6a+6b) </w:t>
            </w:r>
          </w:p>
        </w:tc>
        <w:tc>
          <w:tcPr>
            <w:tcW w:w="1035" w:type="pct"/>
            <w:tcBorders>
              <w:top w:val="single" w:sz="4" w:space="0" w:color="006666"/>
              <w:left w:val="single" w:sz="4" w:space="0" w:color="006666"/>
              <w:bottom w:val="single" w:sz="4" w:space="0" w:color="006666"/>
              <w:right w:val="single" w:sz="12" w:space="0" w:color="006666"/>
            </w:tcBorders>
            <w:noWrap/>
            <w:tcMar>
              <w:top w:w="0" w:type="dxa"/>
              <w:left w:w="0" w:type="dxa"/>
              <w:bottom w:w="0" w:type="dxa"/>
              <w:right w:w="0" w:type="dxa"/>
            </w:tcMar>
            <w:vAlign w:val="bottom"/>
            <w:hideMark/>
          </w:tcPr>
          <w:p w14:paraId="5696C4F0" w14:textId="4426269A" w:rsidR="003E42B1" w:rsidRPr="007A2552" w:rsidRDefault="003E42B1" w:rsidP="003E42B1">
            <w:pPr>
              <w:spacing w:before="10" w:after="10"/>
              <w:jc w:val="center"/>
              <w:rPr>
                <w:rFonts w:cs="Calibri"/>
                <w:b/>
                <w:color w:val="000000"/>
                <w:sz w:val="20"/>
                <w:szCs w:val="20"/>
              </w:rPr>
            </w:pPr>
            <w:r w:rsidRPr="007A2552">
              <w:rPr>
                <w:rFonts w:cs="Calibri"/>
                <w:b/>
                <w:color w:val="000000"/>
                <w:sz w:val="20"/>
                <w:szCs w:val="20"/>
              </w:rPr>
              <w:t>4</w:t>
            </w:r>
            <w:r w:rsidR="00F404C0" w:rsidRPr="007A2552">
              <w:rPr>
                <w:rFonts w:cs="Calibri"/>
                <w:b/>
                <w:color w:val="000000"/>
                <w:sz w:val="20"/>
                <w:szCs w:val="20"/>
              </w:rPr>
              <w:t>2</w:t>
            </w:r>
          </w:p>
        </w:tc>
      </w:tr>
      <w:tr w:rsidR="003E42B1" w:rsidRPr="007A2552" w14:paraId="73E898EF" w14:textId="77777777" w:rsidTr="00B550ED">
        <w:tc>
          <w:tcPr>
            <w:tcW w:w="5000" w:type="pct"/>
            <w:gridSpan w:val="5"/>
            <w:tcBorders>
              <w:top w:val="single" w:sz="12" w:space="0" w:color="006666"/>
              <w:left w:val="single" w:sz="12" w:space="0" w:color="006666"/>
              <w:bottom w:val="single" w:sz="12" w:space="0" w:color="006666"/>
              <w:right w:val="single" w:sz="12" w:space="0" w:color="006666"/>
            </w:tcBorders>
            <w:shd w:val="clear" w:color="auto" w:fill="009999"/>
            <w:noWrap/>
            <w:tcMar>
              <w:top w:w="0" w:type="dxa"/>
              <w:left w:w="0" w:type="dxa"/>
              <w:bottom w:w="0" w:type="dxa"/>
              <w:right w:w="0" w:type="dxa"/>
            </w:tcMar>
            <w:vAlign w:val="center"/>
            <w:hideMark/>
          </w:tcPr>
          <w:p w14:paraId="444DB369" w14:textId="77777777" w:rsidR="003E42B1" w:rsidRPr="007A2552" w:rsidRDefault="003E42B1" w:rsidP="003E42B1">
            <w:pPr>
              <w:spacing w:before="10" w:after="10"/>
              <w:jc w:val="left"/>
              <w:rPr>
                <w:rFonts w:cs="Calibri"/>
                <w:b/>
                <w:color w:val="FFFFFF"/>
                <w:sz w:val="20"/>
                <w:szCs w:val="20"/>
              </w:rPr>
            </w:pPr>
            <w:r w:rsidRPr="007A2552">
              <w:rPr>
                <w:rFonts w:cs="Calibri"/>
                <w:b/>
                <w:bCs/>
                <w:color w:val="FFFFFF"/>
                <w:sz w:val="20"/>
                <w:szCs w:val="20"/>
              </w:rPr>
              <w:t>RECONCILING NEED AND SUPPLY</w:t>
            </w:r>
          </w:p>
        </w:tc>
      </w:tr>
      <w:tr w:rsidR="003E42B1" w:rsidRPr="007A2552" w14:paraId="68B43D5A" w14:textId="77777777" w:rsidTr="00B550ED">
        <w:trPr>
          <w:gridAfter w:val="1"/>
          <w:wAfter w:w="3" w:type="pct"/>
        </w:trPr>
        <w:tc>
          <w:tcPr>
            <w:tcW w:w="273" w:type="pct"/>
            <w:tcBorders>
              <w:top w:val="single" w:sz="12" w:space="0" w:color="006666"/>
              <w:left w:val="single" w:sz="12" w:space="0" w:color="006666"/>
              <w:bottom w:val="single" w:sz="12" w:space="0" w:color="006666"/>
              <w:right w:val="single" w:sz="12" w:space="0" w:color="006666"/>
            </w:tcBorders>
            <w:noWrap/>
            <w:tcMar>
              <w:top w:w="0" w:type="dxa"/>
              <w:left w:w="0" w:type="dxa"/>
              <w:bottom w:w="0" w:type="dxa"/>
              <w:right w:w="0" w:type="dxa"/>
            </w:tcMar>
            <w:vAlign w:val="center"/>
            <w:hideMark/>
          </w:tcPr>
          <w:p w14:paraId="3D400834" w14:textId="77777777" w:rsidR="003E42B1" w:rsidRPr="007A2552" w:rsidRDefault="003E42B1" w:rsidP="003E42B1">
            <w:pPr>
              <w:spacing w:before="10" w:after="10"/>
              <w:jc w:val="center"/>
              <w:rPr>
                <w:rFonts w:cs="Calibri"/>
                <w:b/>
                <w:sz w:val="20"/>
                <w:szCs w:val="20"/>
              </w:rPr>
            </w:pPr>
            <w:r w:rsidRPr="007A2552">
              <w:rPr>
                <w:rFonts w:cs="Calibri"/>
                <w:b/>
                <w:sz w:val="20"/>
                <w:szCs w:val="20"/>
              </w:rPr>
              <w:t>7</w:t>
            </w:r>
          </w:p>
        </w:tc>
        <w:tc>
          <w:tcPr>
            <w:tcW w:w="1574" w:type="pct"/>
            <w:tcBorders>
              <w:top w:val="single" w:sz="12" w:space="0" w:color="006666"/>
              <w:left w:val="single" w:sz="12" w:space="0" w:color="006666"/>
              <w:bottom w:val="single" w:sz="12" w:space="0" w:color="006666"/>
              <w:right w:val="single" w:sz="4" w:space="0" w:color="006666"/>
            </w:tcBorders>
            <w:tcMar>
              <w:top w:w="0" w:type="dxa"/>
              <w:left w:w="0" w:type="dxa"/>
              <w:bottom w:w="0" w:type="dxa"/>
              <w:right w:w="0" w:type="dxa"/>
            </w:tcMar>
            <w:hideMark/>
          </w:tcPr>
          <w:p w14:paraId="5C8784A3" w14:textId="77777777" w:rsidR="003E42B1" w:rsidRPr="007A2552" w:rsidRDefault="003E42B1" w:rsidP="003E42B1">
            <w:pPr>
              <w:spacing w:before="10" w:after="10"/>
              <w:rPr>
                <w:rFonts w:cs="Calibri"/>
                <w:b/>
                <w:bCs/>
                <w:sz w:val="20"/>
                <w:szCs w:val="20"/>
              </w:rPr>
            </w:pPr>
            <w:r w:rsidRPr="007A2552">
              <w:rPr>
                <w:rFonts w:cs="Calibri"/>
                <w:b/>
                <w:bCs/>
                <w:sz w:val="20"/>
                <w:szCs w:val="20"/>
              </w:rPr>
              <w:t xml:space="preserve">Total need for pitches </w:t>
            </w:r>
          </w:p>
        </w:tc>
        <w:tc>
          <w:tcPr>
            <w:tcW w:w="2115" w:type="pct"/>
            <w:tcBorders>
              <w:top w:val="single" w:sz="12" w:space="0" w:color="006666"/>
              <w:left w:val="single" w:sz="4" w:space="0" w:color="006666"/>
              <w:bottom w:val="single" w:sz="12" w:space="0" w:color="006666"/>
              <w:right w:val="single" w:sz="4" w:space="0" w:color="006666"/>
            </w:tcBorders>
            <w:tcMar>
              <w:top w:w="0" w:type="dxa"/>
              <w:left w:w="0" w:type="dxa"/>
              <w:bottom w:w="0" w:type="dxa"/>
              <w:right w:w="0" w:type="dxa"/>
            </w:tcMar>
            <w:vAlign w:val="center"/>
            <w:hideMark/>
          </w:tcPr>
          <w:p w14:paraId="55F84192" w14:textId="77777777" w:rsidR="003E42B1" w:rsidRPr="007A2552" w:rsidRDefault="003E42B1" w:rsidP="003E42B1">
            <w:pPr>
              <w:spacing w:before="10" w:after="10"/>
              <w:rPr>
                <w:rFonts w:cs="Calibri"/>
                <w:b/>
                <w:sz w:val="20"/>
                <w:szCs w:val="20"/>
              </w:rPr>
            </w:pPr>
            <w:r w:rsidRPr="007A2552">
              <w:rPr>
                <w:rFonts w:cs="Calibri"/>
                <w:b/>
                <w:sz w:val="20"/>
                <w:szCs w:val="20"/>
              </w:rPr>
              <w:t>5 years (from 5)</w:t>
            </w:r>
          </w:p>
        </w:tc>
        <w:tc>
          <w:tcPr>
            <w:tcW w:w="1035" w:type="pct"/>
            <w:tcBorders>
              <w:top w:val="single" w:sz="12" w:space="0" w:color="006666"/>
              <w:left w:val="single" w:sz="4" w:space="0" w:color="006666"/>
              <w:bottom w:val="single" w:sz="12" w:space="0" w:color="006666"/>
              <w:right w:val="single" w:sz="12" w:space="0" w:color="006666"/>
            </w:tcBorders>
            <w:noWrap/>
            <w:tcMar>
              <w:top w:w="0" w:type="dxa"/>
              <w:left w:w="0" w:type="dxa"/>
              <w:bottom w:w="0" w:type="dxa"/>
              <w:right w:w="0" w:type="dxa"/>
            </w:tcMar>
            <w:vAlign w:val="center"/>
            <w:hideMark/>
          </w:tcPr>
          <w:p w14:paraId="2FF86E82" w14:textId="3780D7D6" w:rsidR="003E42B1" w:rsidRPr="007A2552" w:rsidRDefault="00747925" w:rsidP="003E42B1">
            <w:pPr>
              <w:spacing w:before="10" w:after="10"/>
              <w:jc w:val="center"/>
              <w:rPr>
                <w:rFonts w:cs="Calibri"/>
                <w:b/>
                <w:color w:val="000000"/>
                <w:sz w:val="20"/>
                <w:szCs w:val="20"/>
              </w:rPr>
            </w:pPr>
            <w:r>
              <w:rPr>
                <w:rFonts w:cs="Calibri"/>
                <w:b/>
                <w:color w:val="000000"/>
                <w:sz w:val="20"/>
                <w:szCs w:val="20"/>
              </w:rPr>
              <w:t>6</w:t>
            </w:r>
            <w:r w:rsidR="00787125">
              <w:rPr>
                <w:rFonts w:cs="Calibri"/>
                <w:b/>
                <w:color w:val="000000"/>
                <w:sz w:val="20"/>
                <w:szCs w:val="20"/>
              </w:rPr>
              <w:t>2</w:t>
            </w:r>
          </w:p>
        </w:tc>
      </w:tr>
      <w:tr w:rsidR="003E42B1" w:rsidRPr="007A2552" w14:paraId="48DA1BDD" w14:textId="77777777" w:rsidTr="00B550ED">
        <w:trPr>
          <w:gridAfter w:val="1"/>
          <w:wAfter w:w="3" w:type="pct"/>
        </w:trPr>
        <w:tc>
          <w:tcPr>
            <w:tcW w:w="273" w:type="pct"/>
            <w:tcBorders>
              <w:top w:val="single" w:sz="12" w:space="0" w:color="006666"/>
              <w:left w:val="single" w:sz="12" w:space="0" w:color="006666"/>
              <w:bottom w:val="single" w:sz="12" w:space="0" w:color="006666"/>
              <w:right w:val="single" w:sz="12" w:space="0" w:color="006666"/>
            </w:tcBorders>
            <w:noWrap/>
            <w:tcMar>
              <w:top w:w="0" w:type="dxa"/>
              <w:left w:w="0" w:type="dxa"/>
              <w:bottom w:w="0" w:type="dxa"/>
              <w:right w:w="0" w:type="dxa"/>
            </w:tcMar>
            <w:vAlign w:val="center"/>
            <w:hideMark/>
          </w:tcPr>
          <w:p w14:paraId="65A29483" w14:textId="77777777" w:rsidR="003E42B1" w:rsidRPr="007A2552" w:rsidRDefault="003E42B1" w:rsidP="003E42B1">
            <w:pPr>
              <w:spacing w:before="10" w:after="10"/>
              <w:jc w:val="center"/>
              <w:rPr>
                <w:rFonts w:cs="Calibri"/>
                <w:b/>
                <w:sz w:val="20"/>
                <w:szCs w:val="20"/>
              </w:rPr>
            </w:pPr>
            <w:r w:rsidRPr="007A2552">
              <w:rPr>
                <w:rFonts w:cs="Calibri"/>
                <w:b/>
                <w:sz w:val="20"/>
                <w:szCs w:val="20"/>
              </w:rPr>
              <w:t>8</w:t>
            </w:r>
          </w:p>
        </w:tc>
        <w:tc>
          <w:tcPr>
            <w:tcW w:w="1574" w:type="pct"/>
            <w:tcBorders>
              <w:top w:val="single" w:sz="12" w:space="0" w:color="006666"/>
              <w:left w:val="single" w:sz="12" w:space="0" w:color="006666"/>
              <w:bottom w:val="single" w:sz="12" w:space="0" w:color="006666"/>
              <w:right w:val="single" w:sz="4" w:space="0" w:color="006666"/>
            </w:tcBorders>
            <w:tcMar>
              <w:top w:w="0" w:type="dxa"/>
              <w:left w:w="0" w:type="dxa"/>
              <w:bottom w:w="0" w:type="dxa"/>
              <w:right w:w="0" w:type="dxa"/>
            </w:tcMar>
            <w:hideMark/>
          </w:tcPr>
          <w:p w14:paraId="2928583B" w14:textId="77777777" w:rsidR="003E42B1" w:rsidRPr="007A2552" w:rsidRDefault="003E42B1" w:rsidP="003E42B1">
            <w:pPr>
              <w:spacing w:before="10" w:after="10"/>
              <w:jc w:val="left"/>
              <w:rPr>
                <w:rFonts w:cs="Calibri"/>
                <w:b/>
                <w:bCs/>
                <w:sz w:val="20"/>
                <w:szCs w:val="20"/>
              </w:rPr>
            </w:pPr>
            <w:r w:rsidRPr="007A2552">
              <w:rPr>
                <w:rFonts w:cs="Calibri"/>
                <w:b/>
                <w:bCs/>
                <w:sz w:val="20"/>
                <w:szCs w:val="20"/>
              </w:rPr>
              <w:t>Total supply of authorised pitches</w:t>
            </w:r>
          </w:p>
        </w:tc>
        <w:tc>
          <w:tcPr>
            <w:tcW w:w="2115" w:type="pct"/>
            <w:tcBorders>
              <w:top w:val="single" w:sz="12" w:space="0" w:color="006666"/>
              <w:left w:val="single" w:sz="4" w:space="0" w:color="006666"/>
              <w:bottom w:val="single" w:sz="12" w:space="0" w:color="006666"/>
              <w:right w:val="single" w:sz="4" w:space="0" w:color="006666"/>
            </w:tcBorders>
            <w:tcMar>
              <w:top w:w="0" w:type="dxa"/>
              <w:left w:w="0" w:type="dxa"/>
              <w:bottom w:w="0" w:type="dxa"/>
              <w:right w:w="0" w:type="dxa"/>
            </w:tcMar>
            <w:vAlign w:val="center"/>
            <w:hideMark/>
          </w:tcPr>
          <w:p w14:paraId="0BCDA5D4" w14:textId="77777777" w:rsidR="003E42B1" w:rsidRPr="007A2552" w:rsidRDefault="003E42B1" w:rsidP="003E42B1">
            <w:pPr>
              <w:spacing w:before="10" w:after="10"/>
              <w:rPr>
                <w:rFonts w:cs="Calibri"/>
                <w:b/>
                <w:sz w:val="20"/>
                <w:szCs w:val="20"/>
              </w:rPr>
            </w:pPr>
            <w:r w:rsidRPr="007A2552">
              <w:rPr>
                <w:rFonts w:cs="Calibri"/>
                <w:b/>
                <w:sz w:val="20"/>
                <w:szCs w:val="20"/>
              </w:rPr>
              <w:t>5 years (from 6c)</w:t>
            </w:r>
          </w:p>
        </w:tc>
        <w:tc>
          <w:tcPr>
            <w:tcW w:w="1035" w:type="pct"/>
            <w:tcBorders>
              <w:top w:val="single" w:sz="12" w:space="0" w:color="006666"/>
              <w:left w:val="single" w:sz="4" w:space="0" w:color="006666"/>
              <w:bottom w:val="single" w:sz="12" w:space="0" w:color="006666"/>
              <w:right w:val="single" w:sz="12" w:space="0" w:color="006666"/>
            </w:tcBorders>
            <w:noWrap/>
            <w:tcMar>
              <w:top w:w="0" w:type="dxa"/>
              <w:left w:w="0" w:type="dxa"/>
              <w:bottom w:w="0" w:type="dxa"/>
              <w:right w:w="0" w:type="dxa"/>
            </w:tcMar>
            <w:vAlign w:val="center"/>
            <w:hideMark/>
          </w:tcPr>
          <w:p w14:paraId="6B5F7A0C" w14:textId="04BBFD3B" w:rsidR="003E42B1" w:rsidRPr="007A2552" w:rsidRDefault="003E42B1" w:rsidP="003E42B1">
            <w:pPr>
              <w:spacing w:before="10" w:after="10"/>
              <w:jc w:val="center"/>
              <w:rPr>
                <w:rFonts w:cs="Calibri"/>
                <w:b/>
                <w:color w:val="000000"/>
                <w:sz w:val="20"/>
                <w:szCs w:val="20"/>
              </w:rPr>
            </w:pPr>
            <w:r w:rsidRPr="007A2552">
              <w:rPr>
                <w:rFonts w:cs="Calibri"/>
                <w:b/>
                <w:color w:val="000000"/>
                <w:sz w:val="20"/>
                <w:szCs w:val="20"/>
              </w:rPr>
              <w:t>4</w:t>
            </w:r>
            <w:r w:rsidR="00CC777C" w:rsidRPr="007A2552">
              <w:rPr>
                <w:rFonts w:cs="Calibri"/>
                <w:b/>
                <w:color w:val="000000"/>
                <w:sz w:val="20"/>
                <w:szCs w:val="20"/>
              </w:rPr>
              <w:t>2</w:t>
            </w:r>
          </w:p>
        </w:tc>
      </w:tr>
      <w:tr w:rsidR="003E42B1" w:rsidRPr="007A2552" w14:paraId="128B7728" w14:textId="77777777" w:rsidTr="00B550ED">
        <w:trPr>
          <w:gridAfter w:val="1"/>
          <w:wAfter w:w="3" w:type="pct"/>
        </w:trPr>
        <w:tc>
          <w:tcPr>
            <w:tcW w:w="3961" w:type="pct"/>
            <w:gridSpan w:val="3"/>
            <w:tcBorders>
              <w:top w:val="single" w:sz="12" w:space="0" w:color="006666"/>
              <w:left w:val="single" w:sz="12" w:space="0" w:color="006666"/>
              <w:bottom w:val="single" w:sz="12" w:space="0" w:color="006666"/>
              <w:right w:val="single" w:sz="4" w:space="0" w:color="006666"/>
            </w:tcBorders>
            <w:noWrap/>
            <w:tcMar>
              <w:top w:w="0" w:type="dxa"/>
              <w:left w:w="0" w:type="dxa"/>
              <w:bottom w:w="0" w:type="dxa"/>
              <w:right w:w="0" w:type="dxa"/>
            </w:tcMar>
            <w:hideMark/>
          </w:tcPr>
          <w:p w14:paraId="726BD0B6" w14:textId="77777777" w:rsidR="003E42B1" w:rsidRPr="007A2552" w:rsidRDefault="003E42B1" w:rsidP="003E42B1">
            <w:pPr>
              <w:spacing w:before="10" w:after="10"/>
              <w:rPr>
                <w:rFonts w:cs="Calibri"/>
                <w:b/>
                <w:bCs/>
                <w:sz w:val="20"/>
                <w:szCs w:val="20"/>
              </w:rPr>
            </w:pPr>
            <w:r w:rsidRPr="007A2552">
              <w:rPr>
                <w:rFonts w:cs="Calibri"/>
                <w:b/>
                <w:bCs/>
                <w:sz w:val="20"/>
                <w:szCs w:val="20"/>
              </w:rPr>
              <w:t>5 YEAR AUTHORISED PITCH SHORTFALL 2018/19 TO 2022/23</w:t>
            </w:r>
          </w:p>
        </w:tc>
        <w:tc>
          <w:tcPr>
            <w:tcW w:w="1035" w:type="pct"/>
            <w:tcBorders>
              <w:top w:val="single" w:sz="12" w:space="0" w:color="006666"/>
              <w:left w:val="single" w:sz="4" w:space="0" w:color="006666"/>
              <w:bottom w:val="single" w:sz="12" w:space="0" w:color="006666"/>
              <w:right w:val="single" w:sz="12" w:space="0" w:color="006666"/>
            </w:tcBorders>
            <w:noWrap/>
            <w:tcMar>
              <w:top w:w="0" w:type="dxa"/>
              <w:left w:w="0" w:type="dxa"/>
              <w:bottom w:w="0" w:type="dxa"/>
              <w:right w:w="0" w:type="dxa"/>
            </w:tcMar>
            <w:vAlign w:val="center"/>
            <w:hideMark/>
          </w:tcPr>
          <w:p w14:paraId="2D32D7BF" w14:textId="3FBEE4DF" w:rsidR="003E42B1" w:rsidRPr="007A2552" w:rsidRDefault="00747925" w:rsidP="003E42B1">
            <w:pPr>
              <w:spacing w:before="10" w:after="10"/>
              <w:jc w:val="center"/>
              <w:rPr>
                <w:rFonts w:cs="Calibri"/>
                <w:b/>
                <w:bCs/>
                <w:color w:val="000000"/>
                <w:sz w:val="20"/>
                <w:szCs w:val="20"/>
              </w:rPr>
            </w:pPr>
            <w:r>
              <w:rPr>
                <w:rFonts w:cs="Calibri"/>
                <w:b/>
                <w:bCs/>
                <w:color w:val="000000"/>
                <w:sz w:val="20"/>
                <w:szCs w:val="20"/>
              </w:rPr>
              <w:t>2</w:t>
            </w:r>
            <w:r w:rsidR="00787125">
              <w:rPr>
                <w:rFonts w:cs="Calibri"/>
                <w:b/>
                <w:bCs/>
                <w:color w:val="000000"/>
                <w:sz w:val="20"/>
                <w:szCs w:val="20"/>
              </w:rPr>
              <w:t>0</w:t>
            </w:r>
          </w:p>
        </w:tc>
      </w:tr>
    </w:tbl>
    <w:p w14:paraId="11A11671" w14:textId="43E70CD0" w:rsidR="00B550ED" w:rsidRDefault="00B550ED" w:rsidP="00B550ED">
      <w:bookmarkStart w:id="268" w:name="_Toc513761819"/>
      <w:r>
        <w:t>*This includes the Hermitage which is currently under construction but the need of the household for a pitch is included here</w:t>
      </w:r>
    </w:p>
    <w:p w14:paraId="0B66F8ED" w14:textId="152D9B07" w:rsidR="003E42B1" w:rsidRPr="00CC777C" w:rsidRDefault="003E42B1" w:rsidP="003E42B1">
      <w:pPr>
        <w:pStyle w:val="Heading2"/>
      </w:pPr>
      <w:bookmarkStart w:id="269" w:name="_Toc13845488"/>
      <w:r w:rsidRPr="00CC777C">
        <w:t>Longer-term pitch requirement modelling</w:t>
      </w:r>
      <w:bookmarkEnd w:id="268"/>
      <w:bookmarkEnd w:id="269"/>
    </w:p>
    <w:p w14:paraId="086842D7" w14:textId="77777777" w:rsidR="003E42B1" w:rsidRPr="00CC777C" w:rsidRDefault="003E42B1" w:rsidP="0014458C">
      <w:pPr>
        <w:pStyle w:val="Reporttext"/>
      </w:pPr>
      <w:r w:rsidRPr="00CC777C">
        <w:t>Longer-term pitch need modelling has been carried out using known household structure information from the household survey of households living on pitches. On the basis of the age of children in households, it is possible to determine the extent of ‘likely emergence’, which assumes that a child is likely to form a new household at the age of 18.</w:t>
      </w:r>
    </w:p>
    <w:p w14:paraId="22D8E210" w14:textId="1B83352E" w:rsidR="003E42B1" w:rsidRPr="00CC777C" w:rsidRDefault="003E42B1" w:rsidP="0014458C">
      <w:pPr>
        <w:pStyle w:val="Reporttext"/>
      </w:pPr>
      <w:r w:rsidRPr="00CC777C">
        <w:t>The year when a child reaches 18 has been calculated and it is possible to assess how many newly forming households may emerge over the period 2023/24 to 2035/36.</w:t>
      </w:r>
      <w:r w:rsidRPr="0014458C">
        <w:rPr>
          <w:rFonts w:cs="Arial"/>
        </w:rPr>
        <w:t xml:space="preserve"> A reasonable assumption is that half of these children will form new households, bearing in mind culturally women tend to move away on marriage and men tend to stay in close proximity to their families on marriage. The model therefore assumes that </w:t>
      </w:r>
      <w:r w:rsidRPr="00CC777C">
        <w:t xml:space="preserve">50% of children will form households when they reach 18 and that these households remain in </w:t>
      </w:r>
      <w:r w:rsidR="00EE6DA0" w:rsidRPr="00CC777C">
        <w:t>West Berkshire</w:t>
      </w:r>
      <w:r w:rsidR="00E534F1" w:rsidRPr="00CC777C">
        <w:t xml:space="preserve"> District</w:t>
      </w:r>
      <w:r w:rsidRPr="00CC777C">
        <w:rPr>
          <w:rStyle w:val="FootnoteReference"/>
        </w:rPr>
        <w:footnoteReference w:id="25"/>
      </w:r>
      <w:r w:rsidRPr="00CC777C">
        <w:t xml:space="preserve">. Analysis would suggest a total cultural need for </w:t>
      </w:r>
      <w:r w:rsidR="00747925">
        <w:t>31</w:t>
      </w:r>
      <w:r w:rsidRPr="00CC777C">
        <w:t xml:space="preserve"> additional pitches over the period 2023/22-2035/36 (Table </w:t>
      </w:r>
      <w:r w:rsidR="00787125">
        <w:t>7</w:t>
      </w:r>
      <w:r w:rsidRPr="00CC777C">
        <w:t>.2).</w:t>
      </w:r>
    </w:p>
    <w:p w14:paraId="75653CE0" w14:textId="77777777" w:rsidR="003E42B1" w:rsidRPr="00CC777C" w:rsidRDefault="003E42B1" w:rsidP="003E42B1">
      <w:pPr>
        <w:tabs>
          <w:tab w:val="left" w:pos="709"/>
        </w:tabs>
        <w:rPr>
          <w:sz w:val="20"/>
        </w:rPr>
      </w:pP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A0" w:firstRow="1" w:lastRow="0" w:firstColumn="1" w:lastColumn="0" w:noHBand="0" w:noVBand="0"/>
      </w:tblPr>
      <w:tblGrid>
        <w:gridCol w:w="5331"/>
        <w:gridCol w:w="1677"/>
        <w:gridCol w:w="2172"/>
      </w:tblGrid>
      <w:tr w:rsidR="003E42B1" w:rsidRPr="00CC777C" w14:paraId="12926622" w14:textId="77777777" w:rsidTr="007A2552">
        <w:tc>
          <w:tcPr>
            <w:tcW w:w="5000" w:type="pct"/>
            <w:gridSpan w:val="3"/>
            <w:shd w:val="clear" w:color="auto" w:fill="009999"/>
            <w:noWrap/>
            <w:vAlign w:val="bottom"/>
            <w:hideMark/>
          </w:tcPr>
          <w:p w14:paraId="47DD5F00" w14:textId="66B0C349" w:rsidR="003E42B1" w:rsidRPr="00CC777C" w:rsidRDefault="003E42B1" w:rsidP="003E42B1">
            <w:pPr>
              <w:pStyle w:val="tableheading"/>
              <w:rPr>
                <w:bCs/>
                <w:lang w:eastAsia="en-GB"/>
              </w:rPr>
            </w:pPr>
            <w:bookmarkStart w:id="270" w:name="_Toc13845515"/>
            <w:r w:rsidRPr="00CC777C">
              <w:rPr>
                <w:lang w:eastAsia="en-GB"/>
              </w:rPr>
              <w:t xml:space="preserve">Table </w:t>
            </w:r>
            <w:r w:rsidR="00787125">
              <w:rPr>
                <w:lang w:eastAsia="en-GB"/>
              </w:rPr>
              <w:t>7</w:t>
            </w:r>
            <w:r w:rsidRPr="00CC777C">
              <w:rPr>
                <w:lang w:eastAsia="en-GB"/>
              </w:rPr>
              <w:t>.2</w:t>
            </w:r>
            <w:r w:rsidRPr="00CC777C">
              <w:rPr>
                <w:lang w:eastAsia="en-GB"/>
              </w:rPr>
              <w:tab/>
              <w:t>Future pitch requirements based on the assumption that 50% of children form households on reaching 18</w:t>
            </w:r>
            <w:bookmarkEnd w:id="270"/>
          </w:p>
        </w:tc>
      </w:tr>
      <w:tr w:rsidR="003E42B1" w:rsidRPr="00CC777C" w14:paraId="1174ECFC" w14:textId="77777777" w:rsidTr="007A2552">
        <w:tc>
          <w:tcPr>
            <w:tcW w:w="2921" w:type="pct"/>
            <w:shd w:val="clear" w:color="auto" w:fill="009999"/>
            <w:noWrap/>
            <w:vAlign w:val="bottom"/>
            <w:hideMark/>
          </w:tcPr>
          <w:p w14:paraId="1564E5BE" w14:textId="77777777" w:rsidR="003E42B1" w:rsidRPr="00CC777C" w:rsidRDefault="003E42B1" w:rsidP="007A2552">
            <w:pPr>
              <w:spacing w:before="0" w:after="0"/>
              <w:rPr>
                <w:b/>
                <w:bCs/>
                <w:color w:val="FFFFFF"/>
                <w:sz w:val="22"/>
                <w:szCs w:val="22"/>
              </w:rPr>
            </w:pPr>
            <w:r w:rsidRPr="00CC777C">
              <w:rPr>
                <w:b/>
                <w:bCs/>
                <w:color w:val="FFFFFF"/>
                <w:sz w:val="22"/>
                <w:szCs w:val="22"/>
              </w:rPr>
              <w:t>Time period</w:t>
            </w:r>
          </w:p>
        </w:tc>
        <w:tc>
          <w:tcPr>
            <w:tcW w:w="903" w:type="pct"/>
            <w:shd w:val="clear" w:color="auto" w:fill="009999"/>
            <w:vAlign w:val="bottom"/>
            <w:hideMark/>
          </w:tcPr>
          <w:p w14:paraId="5ACE7720" w14:textId="77777777" w:rsidR="003E42B1" w:rsidRPr="00CC777C" w:rsidRDefault="003E42B1" w:rsidP="007A2552">
            <w:pPr>
              <w:spacing w:before="0" w:after="0"/>
              <w:jc w:val="center"/>
              <w:rPr>
                <w:b/>
                <w:bCs/>
                <w:color w:val="FFFFFF"/>
                <w:sz w:val="22"/>
                <w:szCs w:val="22"/>
              </w:rPr>
            </w:pPr>
            <w:r w:rsidRPr="00CC777C">
              <w:rPr>
                <w:b/>
                <w:bCs/>
                <w:color w:val="FFFFFF"/>
                <w:sz w:val="22"/>
                <w:szCs w:val="22"/>
              </w:rPr>
              <w:t>No. children</w:t>
            </w:r>
          </w:p>
        </w:tc>
        <w:tc>
          <w:tcPr>
            <w:tcW w:w="1176" w:type="pct"/>
            <w:shd w:val="clear" w:color="auto" w:fill="009999"/>
            <w:vAlign w:val="bottom"/>
            <w:hideMark/>
          </w:tcPr>
          <w:p w14:paraId="3DBCDCF1" w14:textId="77777777" w:rsidR="003E42B1" w:rsidRPr="00CC777C" w:rsidRDefault="003E42B1" w:rsidP="007A2552">
            <w:pPr>
              <w:spacing w:before="0" w:after="0"/>
              <w:jc w:val="center"/>
              <w:rPr>
                <w:b/>
                <w:bCs/>
                <w:color w:val="FFFFFF"/>
                <w:sz w:val="22"/>
                <w:szCs w:val="22"/>
              </w:rPr>
            </w:pPr>
            <w:r w:rsidRPr="00CC777C">
              <w:rPr>
                <w:b/>
                <w:bCs/>
                <w:color w:val="FFFFFF"/>
                <w:sz w:val="22"/>
                <w:szCs w:val="22"/>
              </w:rPr>
              <w:t>Expected household formation</w:t>
            </w:r>
          </w:p>
        </w:tc>
      </w:tr>
      <w:tr w:rsidR="003E42B1" w:rsidRPr="00CC777C" w14:paraId="372ADE92" w14:textId="77777777" w:rsidTr="007A2552">
        <w:tc>
          <w:tcPr>
            <w:tcW w:w="2921" w:type="pct"/>
            <w:noWrap/>
            <w:vAlign w:val="bottom"/>
            <w:hideMark/>
          </w:tcPr>
          <w:p w14:paraId="4DB43472" w14:textId="77777777" w:rsidR="003E42B1" w:rsidRPr="00CC777C" w:rsidRDefault="003E42B1" w:rsidP="007A2552">
            <w:pPr>
              <w:spacing w:before="0" w:after="0"/>
              <w:rPr>
                <w:rFonts w:cs="Arial"/>
                <w:color w:val="000000"/>
                <w:sz w:val="22"/>
                <w:szCs w:val="22"/>
              </w:rPr>
            </w:pPr>
            <w:r w:rsidRPr="00CC777C">
              <w:rPr>
                <w:rFonts w:cs="Arial"/>
                <w:color w:val="000000"/>
                <w:sz w:val="22"/>
                <w:szCs w:val="22"/>
              </w:rPr>
              <w:t xml:space="preserve">2023/24 – 2027/28 </w:t>
            </w:r>
          </w:p>
        </w:tc>
        <w:tc>
          <w:tcPr>
            <w:tcW w:w="903" w:type="pct"/>
            <w:noWrap/>
            <w:vAlign w:val="bottom"/>
            <w:hideMark/>
          </w:tcPr>
          <w:p w14:paraId="154CDC66" w14:textId="159F955A" w:rsidR="003E42B1" w:rsidRPr="00CC777C" w:rsidRDefault="00CC777C" w:rsidP="007A2552">
            <w:pPr>
              <w:spacing w:before="0" w:after="0"/>
              <w:jc w:val="center"/>
              <w:rPr>
                <w:rFonts w:cs="Arial"/>
                <w:color w:val="000000"/>
                <w:sz w:val="22"/>
                <w:szCs w:val="22"/>
              </w:rPr>
            </w:pPr>
            <w:r>
              <w:rPr>
                <w:rFonts w:cs="Arial"/>
                <w:color w:val="000000"/>
                <w:sz w:val="22"/>
                <w:szCs w:val="22"/>
              </w:rPr>
              <w:t>1</w:t>
            </w:r>
            <w:r w:rsidR="00747925">
              <w:rPr>
                <w:rFonts w:cs="Arial"/>
                <w:color w:val="000000"/>
                <w:sz w:val="22"/>
                <w:szCs w:val="22"/>
              </w:rPr>
              <w:t>7</w:t>
            </w:r>
          </w:p>
        </w:tc>
        <w:tc>
          <w:tcPr>
            <w:tcW w:w="1176" w:type="pct"/>
            <w:noWrap/>
            <w:vAlign w:val="bottom"/>
            <w:hideMark/>
          </w:tcPr>
          <w:p w14:paraId="40AFE682" w14:textId="58F9E37E" w:rsidR="003E42B1" w:rsidRPr="00CC777C" w:rsidRDefault="00CC777C" w:rsidP="007A2552">
            <w:pPr>
              <w:spacing w:before="0" w:after="0"/>
              <w:jc w:val="center"/>
              <w:rPr>
                <w:rFonts w:cs="Arial"/>
                <w:bCs/>
                <w:color w:val="000000"/>
                <w:sz w:val="22"/>
                <w:szCs w:val="22"/>
              </w:rPr>
            </w:pPr>
            <w:r>
              <w:rPr>
                <w:rFonts w:cs="Arial"/>
                <w:bCs/>
                <w:color w:val="000000"/>
                <w:sz w:val="22"/>
                <w:szCs w:val="22"/>
              </w:rPr>
              <w:t>8</w:t>
            </w:r>
          </w:p>
        </w:tc>
      </w:tr>
      <w:tr w:rsidR="003E42B1" w:rsidRPr="00CC777C" w14:paraId="60A12370" w14:textId="77777777" w:rsidTr="007A2552">
        <w:tc>
          <w:tcPr>
            <w:tcW w:w="2921" w:type="pct"/>
            <w:noWrap/>
            <w:vAlign w:val="bottom"/>
            <w:hideMark/>
          </w:tcPr>
          <w:p w14:paraId="02A95C9C" w14:textId="77777777" w:rsidR="003E42B1" w:rsidRPr="00CC777C" w:rsidRDefault="003E42B1" w:rsidP="007A2552">
            <w:pPr>
              <w:spacing w:before="0" w:after="0"/>
              <w:rPr>
                <w:rFonts w:cs="Arial"/>
                <w:color w:val="000000"/>
                <w:sz w:val="22"/>
                <w:szCs w:val="22"/>
              </w:rPr>
            </w:pPr>
            <w:r w:rsidRPr="00CC777C">
              <w:rPr>
                <w:rFonts w:cs="Arial"/>
                <w:color w:val="000000"/>
                <w:sz w:val="22"/>
                <w:szCs w:val="22"/>
              </w:rPr>
              <w:t>2028/29 to 2032/33</w:t>
            </w:r>
          </w:p>
        </w:tc>
        <w:tc>
          <w:tcPr>
            <w:tcW w:w="903" w:type="pct"/>
            <w:noWrap/>
            <w:vAlign w:val="bottom"/>
            <w:hideMark/>
          </w:tcPr>
          <w:p w14:paraId="365290C8" w14:textId="4F59BBC1" w:rsidR="003E42B1" w:rsidRPr="00CC777C" w:rsidRDefault="00CC777C" w:rsidP="007A2552">
            <w:pPr>
              <w:spacing w:before="0" w:after="0"/>
              <w:jc w:val="center"/>
              <w:rPr>
                <w:rFonts w:cs="Arial"/>
                <w:color w:val="000000"/>
                <w:sz w:val="22"/>
                <w:szCs w:val="22"/>
              </w:rPr>
            </w:pPr>
            <w:r>
              <w:rPr>
                <w:rFonts w:cs="Arial"/>
                <w:color w:val="000000"/>
                <w:sz w:val="22"/>
                <w:szCs w:val="22"/>
              </w:rPr>
              <w:t>2</w:t>
            </w:r>
            <w:r w:rsidR="00747925">
              <w:rPr>
                <w:rFonts w:cs="Arial"/>
                <w:color w:val="000000"/>
                <w:sz w:val="22"/>
                <w:szCs w:val="22"/>
              </w:rPr>
              <w:t>7</w:t>
            </w:r>
          </w:p>
        </w:tc>
        <w:tc>
          <w:tcPr>
            <w:tcW w:w="1176" w:type="pct"/>
            <w:noWrap/>
            <w:vAlign w:val="bottom"/>
            <w:hideMark/>
          </w:tcPr>
          <w:p w14:paraId="188926C5" w14:textId="52C4EA05" w:rsidR="003E42B1" w:rsidRPr="00CC777C" w:rsidRDefault="00CC777C" w:rsidP="007A2552">
            <w:pPr>
              <w:spacing w:before="0" w:after="0"/>
              <w:jc w:val="center"/>
              <w:rPr>
                <w:rFonts w:cs="Arial"/>
                <w:bCs/>
                <w:color w:val="000000"/>
                <w:sz w:val="22"/>
                <w:szCs w:val="22"/>
              </w:rPr>
            </w:pPr>
            <w:r>
              <w:rPr>
                <w:rFonts w:cs="Arial"/>
                <w:color w:val="000000"/>
                <w:sz w:val="22"/>
                <w:szCs w:val="22"/>
              </w:rPr>
              <w:t>1</w:t>
            </w:r>
            <w:r w:rsidR="00747925">
              <w:rPr>
                <w:rFonts w:cs="Arial"/>
                <w:color w:val="000000"/>
                <w:sz w:val="22"/>
                <w:szCs w:val="22"/>
              </w:rPr>
              <w:t>4</w:t>
            </w:r>
          </w:p>
        </w:tc>
      </w:tr>
      <w:tr w:rsidR="003E42B1" w:rsidRPr="00CC777C" w14:paraId="0C9F5488" w14:textId="77777777" w:rsidTr="007A2552">
        <w:tc>
          <w:tcPr>
            <w:tcW w:w="2921" w:type="pct"/>
            <w:noWrap/>
            <w:vAlign w:val="bottom"/>
          </w:tcPr>
          <w:p w14:paraId="20D971A8" w14:textId="77777777" w:rsidR="003E42B1" w:rsidRPr="00CC777C" w:rsidRDefault="003E42B1" w:rsidP="007A2552">
            <w:pPr>
              <w:spacing w:before="0" w:after="0"/>
              <w:rPr>
                <w:rFonts w:cs="Arial"/>
                <w:color w:val="000000"/>
                <w:sz w:val="22"/>
                <w:szCs w:val="22"/>
              </w:rPr>
            </w:pPr>
            <w:r w:rsidRPr="00CC777C">
              <w:rPr>
                <w:rFonts w:cs="Arial"/>
                <w:color w:val="000000"/>
                <w:sz w:val="22"/>
                <w:szCs w:val="22"/>
              </w:rPr>
              <w:t>2033/34 to 2035/36</w:t>
            </w:r>
          </w:p>
        </w:tc>
        <w:tc>
          <w:tcPr>
            <w:tcW w:w="903" w:type="pct"/>
            <w:noWrap/>
            <w:vAlign w:val="bottom"/>
          </w:tcPr>
          <w:p w14:paraId="50E9F812" w14:textId="4E997DF8" w:rsidR="003E42B1" w:rsidRPr="00CC777C" w:rsidRDefault="00CC777C" w:rsidP="007A2552">
            <w:pPr>
              <w:spacing w:before="0" w:after="0"/>
              <w:jc w:val="center"/>
              <w:rPr>
                <w:rFonts w:cs="Arial"/>
                <w:color w:val="000000"/>
                <w:sz w:val="22"/>
                <w:szCs w:val="22"/>
              </w:rPr>
            </w:pPr>
            <w:r>
              <w:rPr>
                <w:rFonts w:cs="Arial"/>
                <w:color w:val="000000"/>
                <w:sz w:val="22"/>
                <w:szCs w:val="22"/>
              </w:rPr>
              <w:t>1</w:t>
            </w:r>
            <w:r w:rsidR="00747925">
              <w:rPr>
                <w:rFonts w:cs="Arial"/>
                <w:color w:val="000000"/>
                <w:sz w:val="22"/>
                <w:szCs w:val="22"/>
              </w:rPr>
              <w:t>8</w:t>
            </w:r>
          </w:p>
        </w:tc>
        <w:tc>
          <w:tcPr>
            <w:tcW w:w="1176" w:type="pct"/>
            <w:noWrap/>
            <w:vAlign w:val="bottom"/>
          </w:tcPr>
          <w:p w14:paraId="3ADEB3AA" w14:textId="1F0E7680" w:rsidR="003E42B1" w:rsidRPr="00CC777C" w:rsidRDefault="00747925" w:rsidP="007A2552">
            <w:pPr>
              <w:spacing w:before="0" w:after="0"/>
              <w:jc w:val="center"/>
              <w:rPr>
                <w:rFonts w:cs="Arial"/>
                <w:color w:val="000000"/>
                <w:sz w:val="22"/>
                <w:szCs w:val="22"/>
              </w:rPr>
            </w:pPr>
            <w:r>
              <w:rPr>
                <w:rFonts w:cs="Arial"/>
                <w:color w:val="000000"/>
                <w:sz w:val="22"/>
                <w:szCs w:val="22"/>
              </w:rPr>
              <w:t>9</w:t>
            </w:r>
          </w:p>
        </w:tc>
      </w:tr>
      <w:tr w:rsidR="003E42B1" w:rsidRPr="00ED573B" w14:paraId="6A9CAFB8" w14:textId="77777777" w:rsidTr="007A2552">
        <w:tc>
          <w:tcPr>
            <w:tcW w:w="2921" w:type="pct"/>
            <w:noWrap/>
            <w:vAlign w:val="bottom"/>
            <w:hideMark/>
          </w:tcPr>
          <w:p w14:paraId="577A9BBA" w14:textId="77777777" w:rsidR="003E42B1" w:rsidRPr="00CC777C" w:rsidRDefault="003E42B1" w:rsidP="007A2552">
            <w:pPr>
              <w:spacing w:before="0" w:after="0"/>
              <w:rPr>
                <w:rFonts w:cs="Arial"/>
                <w:b/>
                <w:bCs/>
                <w:color w:val="000000"/>
                <w:sz w:val="22"/>
                <w:szCs w:val="22"/>
              </w:rPr>
            </w:pPr>
            <w:r w:rsidRPr="00CC777C">
              <w:rPr>
                <w:rFonts w:cs="Arial"/>
                <w:b/>
                <w:bCs/>
                <w:color w:val="000000"/>
                <w:sz w:val="22"/>
                <w:szCs w:val="22"/>
              </w:rPr>
              <w:t>Total (2023/24 to 2035/36)</w:t>
            </w:r>
          </w:p>
        </w:tc>
        <w:tc>
          <w:tcPr>
            <w:tcW w:w="903" w:type="pct"/>
            <w:noWrap/>
            <w:vAlign w:val="bottom"/>
            <w:hideMark/>
          </w:tcPr>
          <w:p w14:paraId="15B522DD" w14:textId="1B9EC748" w:rsidR="003E42B1" w:rsidRPr="00CC777C" w:rsidRDefault="00747925" w:rsidP="007A2552">
            <w:pPr>
              <w:spacing w:before="0" w:after="0"/>
              <w:jc w:val="center"/>
              <w:rPr>
                <w:rFonts w:cs="Arial"/>
                <w:b/>
                <w:bCs/>
                <w:color w:val="000000"/>
                <w:sz w:val="22"/>
                <w:szCs w:val="22"/>
              </w:rPr>
            </w:pPr>
            <w:r>
              <w:rPr>
                <w:rFonts w:cs="Arial"/>
                <w:b/>
                <w:bCs/>
                <w:color w:val="000000"/>
                <w:sz w:val="22"/>
                <w:szCs w:val="22"/>
              </w:rPr>
              <w:t>62</w:t>
            </w:r>
          </w:p>
        </w:tc>
        <w:tc>
          <w:tcPr>
            <w:tcW w:w="1176" w:type="pct"/>
            <w:noWrap/>
            <w:vAlign w:val="bottom"/>
            <w:hideMark/>
          </w:tcPr>
          <w:p w14:paraId="6107282A" w14:textId="200D2951" w:rsidR="003E42B1" w:rsidRPr="00CC777C" w:rsidRDefault="00747925" w:rsidP="007A2552">
            <w:pPr>
              <w:spacing w:before="0" w:after="0"/>
              <w:jc w:val="center"/>
              <w:rPr>
                <w:rFonts w:cs="Arial"/>
                <w:b/>
                <w:bCs/>
                <w:color w:val="000000"/>
                <w:sz w:val="22"/>
                <w:szCs w:val="22"/>
              </w:rPr>
            </w:pPr>
            <w:r>
              <w:rPr>
                <w:rFonts w:cs="Arial"/>
                <w:b/>
                <w:bCs/>
                <w:color w:val="000000"/>
                <w:sz w:val="22"/>
                <w:szCs w:val="22"/>
              </w:rPr>
              <w:t>31</w:t>
            </w:r>
          </w:p>
        </w:tc>
      </w:tr>
    </w:tbl>
    <w:p w14:paraId="6CEB64AC" w14:textId="6B39AD6F" w:rsidR="003E42B1" w:rsidRPr="00864E23" w:rsidRDefault="003E42B1" w:rsidP="00E534F1"/>
    <w:p w14:paraId="1D821C30" w14:textId="77777777" w:rsidR="003E42B1" w:rsidRPr="00864E23" w:rsidRDefault="003E42B1" w:rsidP="003E42B1">
      <w:pPr>
        <w:pStyle w:val="Heading2"/>
      </w:pPr>
      <w:bookmarkStart w:id="271" w:name="_Toc513761820"/>
      <w:bookmarkStart w:id="272" w:name="_Toc13845489"/>
      <w:r w:rsidRPr="00864E23">
        <w:t>Planning Policy for Traveller Site definition</w:t>
      </w:r>
      <w:bookmarkEnd w:id="271"/>
      <w:bookmarkEnd w:id="272"/>
    </w:p>
    <w:p w14:paraId="058296C0" w14:textId="05C7E4A3" w:rsidR="003E42B1" w:rsidRDefault="00CC777C" w:rsidP="0014458C">
      <w:pPr>
        <w:pStyle w:val="Reporttext"/>
      </w:pPr>
      <w:r w:rsidRPr="00864E23">
        <w:t>8</w:t>
      </w:r>
      <w:r w:rsidR="008C1A72">
        <w:t>8</w:t>
      </w:r>
      <w:r w:rsidRPr="00864E23">
        <w:t>%</w:t>
      </w:r>
      <w:r w:rsidR="003E42B1" w:rsidRPr="00864E23">
        <w:t xml:space="preserve"> of the households met the PPTS travelling definition</w:t>
      </w:r>
      <w:r w:rsidR="00864E23" w:rsidRPr="00864E23">
        <w:t>.</w:t>
      </w:r>
      <w:r w:rsidR="00864E23">
        <w:t xml:space="preserve"> Virtually of the children expected to form households in the longer term</w:t>
      </w:r>
      <w:r w:rsidR="000224C9">
        <w:t>,</w:t>
      </w:r>
      <w:r w:rsidR="00864E23">
        <w:t xml:space="preserve"> who lived on pitches</w:t>
      </w:r>
      <w:r w:rsidR="000224C9">
        <w:t>,</w:t>
      </w:r>
      <w:r w:rsidR="00864E23">
        <w:t xml:space="preserve"> lived in family units that travelled. It is therefore assumed that 9</w:t>
      </w:r>
      <w:r w:rsidR="008C1A72">
        <w:t>6</w:t>
      </w:r>
      <w:r w:rsidR="00864E23">
        <w:t>% of people generating longer-term need meet the PPTS definition</w:t>
      </w:r>
      <w:r w:rsidR="008C1A72">
        <w:t>.</w:t>
      </w:r>
    </w:p>
    <w:p w14:paraId="35E63B37" w14:textId="77777777" w:rsidR="00864E23" w:rsidRPr="00864E23" w:rsidRDefault="00864E23" w:rsidP="007A2552">
      <w:pPr>
        <w:pStyle w:val="Reporttext"/>
        <w:numPr>
          <w:ilvl w:val="0"/>
          <w:numId w:val="0"/>
        </w:numPr>
        <w:ind w:left="709"/>
      </w:pPr>
    </w:p>
    <w:p w14:paraId="7DDDEEFB" w14:textId="77777777" w:rsidR="003E42B1" w:rsidRPr="00864E23" w:rsidRDefault="003E42B1" w:rsidP="003E42B1">
      <w:pPr>
        <w:pStyle w:val="Heading2"/>
      </w:pPr>
      <w:bookmarkStart w:id="273" w:name="_Toc513761821"/>
      <w:bookmarkStart w:id="274" w:name="_Toc13845490"/>
      <w:r w:rsidRPr="00864E23">
        <w:t>Plan Period pitch need</w:t>
      </w:r>
      <w:bookmarkEnd w:id="273"/>
      <w:bookmarkEnd w:id="274"/>
    </w:p>
    <w:p w14:paraId="3CA5FB71" w14:textId="2B74D161" w:rsidR="003E42B1" w:rsidRPr="00C50F27" w:rsidRDefault="003E42B1" w:rsidP="00FE1557">
      <w:pPr>
        <w:pStyle w:val="Reporttext"/>
        <w:rPr>
          <w:sz w:val="20"/>
        </w:rPr>
      </w:pPr>
      <w:r w:rsidRPr="00864E23">
        <w:t xml:space="preserve">Table </w:t>
      </w:r>
      <w:r w:rsidR="00787125">
        <w:t>7</w:t>
      </w:r>
      <w:r w:rsidRPr="00864E23">
        <w:t xml:space="preserve">.3 summarises the overall need for pitches across </w:t>
      </w:r>
      <w:r w:rsidR="00EE6DA0" w:rsidRPr="00864E23">
        <w:t>West Berkshire</w:t>
      </w:r>
      <w:r w:rsidR="00E534F1" w:rsidRPr="00864E23">
        <w:t xml:space="preserve"> D</w:t>
      </w:r>
      <w:r w:rsidRPr="00864E23">
        <w:t xml:space="preserve">istrict over the Plan Period to 2036. It presents the overall cultural need based on households identifying as Gypsy and Traveller and a PPTS need which is a subset of the cultural need and is based on those households who meet the PPTS definition of need. Assuming </w:t>
      </w:r>
      <w:r w:rsidR="00F33846" w:rsidRPr="00864E23">
        <w:t>an</w:t>
      </w:r>
      <w:r w:rsidRPr="00864E23">
        <w:t xml:space="preserve"> 18-year period (2018/19 to 2035/36), there is an overall need for </w:t>
      </w:r>
      <w:r w:rsidR="00787125">
        <w:t xml:space="preserve">51 </w:t>
      </w:r>
      <w:r w:rsidRPr="00864E23">
        <w:t xml:space="preserve">pitches (cultural) and </w:t>
      </w:r>
      <w:r w:rsidR="00787125">
        <w:t>48</w:t>
      </w:r>
      <w:r w:rsidRPr="00864E23">
        <w:t xml:space="preserve"> (PPTS). </w:t>
      </w:r>
    </w:p>
    <w:p w14:paraId="7D8C46EF" w14:textId="77777777" w:rsidR="00C50F27" w:rsidRPr="00787125" w:rsidRDefault="00C50F27" w:rsidP="00C50F27">
      <w:pPr>
        <w:pStyle w:val="Reporttext"/>
        <w:numPr>
          <w:ilvl w:val="0"/>
          <w:numId w:val="0"/>
        </w:numPr>
        <w:ind w:left="709"/>
        <w:rPr>
          <w:sz w:val="20"/>
        </w:rPr>
      </w:pP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5710"/>
        <w:gridCol w:w="1768"/>
        <w:gridCol w:w="1702"/>
      </w:tblGrid>
      <w:tr w:rsidR="003E42B1" w:rsidRPr="00864E23" w14:paraId="4C26F076" w14:textId="77777777" w:rsidTr="003E42B1">
        <w:tc>
          <w:tcPr>
            <w:tcW w:w="5000" w:type="pct"/>
            <w:gridSpan w:val="3"/>
            <w:shd w:val="clear" w:color="auto" w:fill="009999"/>
            <w:noWrap/>
            <w:vAlign w:val="bottom"/>
            <w:hideMark/>
          </w:tcPr>
          <w:p w14:paraId="46ABE96E" w14:textId="221377EB" w:rsidR="003E42B1" w:rsidRPr="00864E23" w:rsidRDefault="003E42B1" w:rsidP="003E42B1">
            <w:pPr>
              <w:pStyle w:val="tableheading"/>
              <w:rPr>
                <w:bCs/>
                <w:szCs w:val="22"/>
                <w:lang w:eastAsia="en-GB"/>
              </w:rPr>
            </w:pPr>
            <w:bookmarkStart w:id="275" w:name="_Toc13845516"/>
            <w:r w:rsidRPr="00864E23">
              <w:rPr>
                <w:szCs w:val="22"/>
                <w:lang w:eastAsia="en-GB"/>
              </w:rPr>
              <w:t xml:space="preserve">Table </w:t>
            </w:r>
            <w:r w:rsidR="00787125">
              <w:rPr>
                <w:szCs w:val="22"/>
                <w:lang w:eastAsia="en-GB"/>
              </w:rPr>
              <w:t>7</w:t>
            </w:r>
            <w:r w:rsidRPr="00864E23">
              <w:rPr>
                <w:szCs w:val="22"/>
                <w:lang w:eastAsia="en-GB"/>
              </w:rPr>
              <w:t>.3</w:t>
            </w:r>
            <w:r w:rsidRPr="00864E23">
              <w:rPr>
                <w:szCs w:val="22"/>
                <w:lang w:eastAsia="en-GB"/>
              </w:rPr>
              <w:tab/>
              <w:t>Remaining plan period Gypsy and Traveller pitch need</w:t>
            </w:r>
            <w:bookmarkEnd w:id="275"/>
          </w:p>
        </w:tc>
      </w:tr>
      <w:tr w:rsidR="003E42B1" w:rsidRPr="00864E23" w14:paraId="7AD69FB3" w14:textId="77777777" w:rsidTr="003E42B1">
        <w:tc>
          <w:tcPr>
            <w:tcW w:w="3110" w:type="pct"/>
            <w:shd w:val="clear" w:color="auto" w:fill="009999"/>
            <w:noWrap/>
            <w:vAlign w:val="bottom"/>
            <w:hideMark/>
          </w:tcPr>
          <w:p w14:paraId="0CE3ADFF" w14:textId="77777777" w:rsidR="003E42B1" w:rsidRPr="00864E23" w:rsidRDefault="003E42B1" w:rsidP="007A2552">
            <w:pPr>
              <w:spacing w:before="0" w:after="0"/>
              <w:jc w:val="left"/>
              <w:rPr>
                <w:rFonts w:cs="Arial"/>
                <w:color w:val="000000"/>
                <w:sz w:val="22"/>
                <w:szCs w:val="22"/>
              </w:rPr>
            </w:pPr>
            <w:r w:rsidRPr="00864E23">
              <w:rPr>
                <w:rFonts w:cs="Arial"/>
                <w:color w:val="000000"/>
                <w:sz w:val="22"/>
                <w:szCs w:val="22"/>
              </w:rPr>
              <w:t> </w:t>
            </w:r>
          </w:p>
        </w:tc>
        <w:tc>
          <w:tcPr>
            <w:tcW w:w="963" w:type="pct"/>
            <w:shd w:val="clear" w:color="auto" w:fill="009999"/>
            <w:noWrap/>
            <w:vAlign w:val="bottom"/>
            <w:hideMark/>
          </w:tcPr>
          <w:p w14:paraId="1596BBEC" w14:textId="77777777" w:rsidR="003E42B1" w:rsidRPr="00864E23" w:rsidRDefault="003E42B1" w:rsidP="007A2552">
            <w:pPr>
              <w:spacing w:before="0" w:after="0"/>
              <w:jc w:val="center"/>
              <w:rPr>
                <w:b/>
                <w:color w:val="FFFFFF"/>
                <w:sz w:val="22"/>
                <w:szCs w:val="22"/>
              </w:rPr>
            </w:pPr>
            <w:r w:rsidRPr="00864E23">
              <w:rPr>
                <w:b/>
                <w:color w:val="FFFFFF"/>
                <w:sz w:val="22"/>
                <w:szCs w:val="22"/>
              </w:rPr>
              <w:t>Cultural need</w:t>
            </w:r>
          </w:p>
        </w:tc>
        <w:tc>
          <w:tcPr>
            <w:tcW w:w="927" w:type="pct"/>
            <w:shd w:val="clear" w:color="auto" w:fill="009999"/>
            <w:noWrap/>
            <w:vAlign w:val="bottom"/>
            <w:hideMark/>
          </w:tcPr>
          <w:p w14:paraId="52B40D9F" w14:textId="77777777" w:rsidR="003E42B1" w:rsidRPr="00864E23" w:rsidRDefault="003E42B1" w:rsidP="007A2552">
            <w:pPr>
              <w:spacing w:before="0" w:after="0"/>
              <w:jc w:val="center"/>
              <w:rPr>
                <w:b/>
                <w:color w:val="FFFFFF"/>
                <w:sz w:val="22"/>
                <w:szCs w:val="22"/>
              </w:rPr>
            </w:pPr>
            <w:r w:rsidRPr="00864E23">
              <w:rPr>
                <w:b/>
                <w:color w:val="FFFFFF"/>
                <w:sz w:val="22"/>
                <w:szCs w:val="22"/>
              </w:rPr>
              <w:t xml:space="preserve">Of which: </w:t>
            </w:r>
          </w:p>
          <w:p w14:paraId="607B7223" w14:textId="77777777" w:rsidR="003E42B1" w:rsidRPr="00864E23" w:rsidRDefault="003E42B1" w:rsidP="007A2552">
            <w:pPr>
              <w:spacing w:before="0" w:after="0"/>
              <w:jc w:val="center"/>
              <w:rPr>
                <w:b/>
                <w:color w:val="FFFFFF"/>
                <w:sz w:val="22"/>
                <w:szCs w:val="22"/>
              </w:rPr>
            </w:pPr>
            <w:r w:rsidRPr="00864E23">
              <w:rPr>
                <w:b/>
                <w:color w:val="FFFFFF"/>
                <w:sz w:val="22"/>
                <w:szCs w:val="22"/>
              </w:rPr>
              <w:t>PPTS need</w:t>
            </w:r>
          </w:p>
        </w:tc>
      </w:tr>
      <w:tr w:rsidR="003E42B1" w:rsidRPr="00864E23" w14:paraId="2169B30F" w14:textId="77777777" w:rsidTr="003E42B1">
        <w:tc>
          <w:tcPr>
            <w:tcW w:w="3110" w:type="pct"/>
            <w:noWrap/>
            <w:vAlign w:val="bottom"/>
            <w:hideMark/>
          </w:tcPr>
          <w:p w14:paraId="16B980F4" w14:textId="77777777" w:rsidR="003E42B1" w:rsidRPr="00787125" w:rsidRDefault="003E42B1" w:rsidP="007A2552">
            <w:pPr>
              <w:spacing w:before="0" w:after="0"/>
              <w:jc w:val="left"/>
              <w:rPr>
                <w:rFonts w:cs="Arial"/>
                <w:bCs/>
                <w:color w:val="000000"/>
                <w:sz w:val="22"/>
                <w:szCs w:val="22"/>
              </w:rPr>
            </w:pPr>
            <w:r w:rsidRPr="00787125">
              <w:rPr>
                <w:rFonts w:cs="Arial"/>
                <w:bCs/>
                <w:color w:val="000000"/>
                <w:sz w:val="22"/>
                <w:szCs w:val="22"/>
              </w:rPr>
              <w:t>5-year pitch need  (2018/19 to 2022/23)</w:t>
            </w:r>
          </w:p>
        </w:tc>
        <w:tc>
          <w:tcPr>
            <w:tcW w:w="963" w:type="pct"/>
            <w:noWrap/>
            <w:vAlign w:val="center"/>
          </w:tcPr>
          <w:p w14:paraId="6594CBE8" w14:textId="714069BE" w:rsidR="003E42B1" w:rsidRPr="00787125" w:rsidRDefault="008C1A72" w:rsidP="007A2552">
            <w:pPr>
              <w:spacing w:before="0" w:after="0"/>
              <w:jc w:val="center"/>
              <w:rPr>
                <w:rFonts w:cs="Arial"/>
                <w:bCs/>
                <w:color w:val="000000"/>
                <w:sz w:val="22"/>
                <w:szCs w:val="22"/>
              </w:rPr>
            </w:pPr>
            <w:r w:rsidRPr="00787125">
              <w:rPr>
                <w:rFonts w:cs="Arial"/>
                <w:bCs/>
                <w:color w:val="000000"/>
                <w:sz w:val="22"/>
                <w:szCs w:val="22"/>
              </w:rPr>
              <w:t>2</w:t>
            </w:r>
            <w:r w:rsidR="00787125" w:rsidRPr="00787125">
              <w:rPr>
                <w:rFonts w:cs="Arial"/>
                <w:bCs/>
                <w:color w:val="000000"/>
                <w:sz w:val="22"/>
                <w:szCs w:val="22"/>
              </w:rPr>
              <w:t>0</w:t>
            </w:r>
          </w:p>
        </w:tc>
        <w:tc>
          <w:tcPr>
            <w:tcW w:w="927" w:type="pct"/>
            <w:noWrap/>
            <w:vAlign w:val="center"/>
          </w:tcPr>
          <w:p w14:paraId="185F7720" w14:textId="6FC3F95E" w:rsidR="003E42B1" w:rsidRPr="00787125" w:rsidRDefault="00F404C0" w:rsidP="007A2552">
            <w:pPr>
              <w:spacing w:before="0" w:after="0"/>
              <w:jc w:val="center"/>
              <w:rPr>
                <w:rFonts w:cs="Arial"/>
                <w:bCs/>
                <w:color w:val="000000"/>
                <w:sz w:val="22"/>
                <w:szCs w:val="22"/>
              </w:rPr>
            </w:pPr>
            <w:r w:rsidRPr="00787125">
              <w:rPr>
                <w:rFonts w:cs="Arial"/>
                <w:bCs/>
                <w:color w:val="000000"/>
                <w:sz w:val="22"/>
                <w:szCs w:val="22"/>
              </w:rPr>
              <w:t>1</w:t>
            </w:r>
            <w:r w:rsidR="00787125" w:rsidRPr="00787125">
              <w:rPr>
                <w:rFonts w:cs="Arial"/>
                <w:bCs/>
                <w:color w:val="000000"/>
                <w:sz w:val="22"/>
                <w:szCs w:val="22"/>
              </w:rPr>
              <w:t>8</w:t>
            </w:r>
          </w:p>
        </w:tc>
      </w:tr>
      <w:tr w:rsidR="003E42B1" w:rsidRPr="00864E23" w14:paraId="42B97F2F" w14:textId="77777777" w:rsidTr="003E42B1">
        <w:tc>
          <w:tcPr>
            <w:tcW w:w="3110" w:type="pct"/>
            <w:noWrap/>
            <w:vAlign w:val="bottom"/>
            <w:hideMark/>
          </w:tcPr>
          <w:p w14:paraId="6F071545" w14:textId="77777777" w:rsidR="003E42B1" w:rsidRPr="00787125" w:rsidRDefault="003E42B1" w:rsidP="007A2552">
            <w:pPr>
              <w:spacing w:before="0" w:after="0"/>
              <w:jc w:val="left"/>
              <w:rPr>
                <w:rFonts w:cs="Arial"/>
                <w:bCs/>
                <w:color w:val="000000"/>
                <w:sz w:val="22"/>
                <w:szCs w:val="22"/>
              </w:rPr>
            </w:pPr>
            <w:r w:rsidRPr="00787125">
              <w:rPr>
                <w:rFonts w:cs="Arial"/>
                <w:bCs/>
                <w:color w:val="000000"/>
                <w:sz w:val="22"/>
                <w:szCs w:val="22"/>
              </w:rPr>
              <w:t>Longer-term need (2023/24 to 2027/28)</w:t>
            </w:r>
          </w:p>
        </w:tc>
        <w:tc>
          <w:tcPr>
            <w:tcW w:w="963" w:type="pct"/>
            <w:noWrap/>
            <w:vAlign w:val="center"/>
          </w:tcPr>
          <w:p w14:paraId="7DC7FB90" w14:textId="3795026E" w:rsidR="003E42B1" w:rsidRPr="00787125" w:rsidRDefault="008C1A72" w:rsidP="007A2552">
            <w:pPr>
              <w:spacing w:before="0" w:after="0"/>
              <w:jc w:val="center"/>
              <w:rPr>
                <w:rFonts w:cs="Arial"/>
                <w:bCs/>
                <w:color w:val="000000"/>
                <w:sz w:val="22"/>
                <w:szCs w:val="22"/>
              </w:rPr>
            </w:pPr>
            <w:r w:rsidRPr="00787125">
              <w:rPr>
                <w:rFonts w:cs="Arial"/>
                <w:bCs/>
                <w:color w:val="000000"/>
                <w:sz w:val="22"/>
                <w:szCs w:val="22"/>
              </w:rPr>
              <w:t>9</w:t>
            </w:r>
          </w:p>
        </w:tc>
        <w:tc>
          <w:tcPr>
            <w:tcW w:w="927" w:type="pct"/>
            <w:noWrap/>
            <w:vAlign w:val="center"/>
          </w:tcPr>
          <w:p w14:paraId="7C0ABB1F" w14:textId="05BC59BF" w:rsidR="003E42B1" w:rsidRPr="00787125" w:rsidRDefault="008C1A72" w:rsidP="007A2552">
            <w:pPr>
              <w:spacing w:before="0" w:after="0"/>
              <w:jc w:val="center"/>
              <w:rPr>
                <w:rFonts w:cs="Arial"/>
                <w:bCs/>
                <w:color w:val="000000"/>
                <w:sz w:val="22"/>
                <w:szCs w:val="22"/>
              </w:rPr>
            </w:pPr>
            <w:r w:rsidRPr="00787125">
              <w:rPr>
                <w:rFonts w:cs="Arial"/>
                <w:bCs/>
                <w:color w:val="000000"/>
                <w:sz w:val="22"/>
                <w:szCs w:val="22"/>
              </w:rPr>
              <w:t>9</w:t>
            </w:r>
          </w:p>
        </w:tc>
      </w:tr>
      <w:tr w:rsidR="003E42B1" w:rsidRPr="00864E23" w14:paraId="5FCFC855" w14:textId="77777777" w:rsidTr="003E42B1">
        <w:tc>
          <w:tcPr>
            <w:tcW w:w="3110" w:type="pct"/>
            <w:noWrap/>
            <w:vAlign w:val="bottom"/>
          </w:tcPr>
          <w:p w14:paraId="61510FB4" w14:textId="77777777" w:rsidR="003E42B1" w:rsidRPr="00787125" w:rsidRDefault="003E42B1" w:rsidP="007A2552">
            <w:pPr>
              <w:spacing w:before="0" w:after="0"/>
              <w:jc w:val="left"/>
              <w:rPr>
                <w:rFonts w:cs="Arial"/>
                <w:bCs/>
                <w:color w:val="000000"/>
                <w:sz w:val="22"/>
                <w:szCs w:val="22"/>
              </w:rPr>
            </w:pPr>
            <w:r w:rsidRPr="00787125">
              <w:rPr>
                <w:rFonts w:cs="Arial"/>
                <w:bCs/>
                <w:color w:val="000000"/>
                <w:sz w:val="22"/>
                <w:szCs w:val="22"/>
              </w:rPr>
              <w:t>Longer-term need (2028/29 to 2032/33)</w:t>
            </w:r>
          </w:p>
        </w:tc>
        <w:tc>
          <w:tcPr>
            <w:tcW w:w="963" w:type="pct"/>
            <w:noWrap/>
            <w:vAlign w:val="center"/>
          </w:tcPr>
          <w:p w14:paraId="7DD4603A" w14:textId="733D84E7" w:rsidR="003E42B1" w:rsidRPr="00787125" w:rsidRDefault="002D791C" w:rsidP="007A2552">
            <w:pPr>
              <w:spacing w:before="0" w:after="0"/>
              <w:jc w:val="center"/>
              <w:rPr>
                <w:rFonts w:cs="Arial"/>
                <w:bCs/>
                <w:color w:val="000000"/>
                <w:sz w:val="22"/>
                <w:szCs w:val="22"/>
              </w:rPr>
            </w:pPr>
            <w:r w:rsidRPr="00787125">
              <w:rPr>
                <w:rFonts w:cs="Arial"/>
                <w:bCs/>
                <w:color w:val="000000"/>
                <w:sz w:val="22"/>
                <w:szCs w:val="22"/>
              </w:rPr>
              <w:t>1</w:t>
            </w:r>
            <w:r w:rsidR="008C1A72" w:rsidRPr="00787125">
              <w:rPr>
                <w:rFonts w:cs="Arial"/>
                <w:bCs/>
                <w:color w:val="000000"/>
                <w:sz w:val="22"/>
                <w:szCs w:val="22"/>
              </w:rPr>
              <w:t>4</w:t>
            </w:r>
          </w:p>
        </w:tc>
        <w:tc>
          <w:tcPr>
            <w:tcW w:w="927" w:type="pct"/>
            <w:noWrap/>
            <w:vAlign w:val="center"/>
          </w:tcPr>
          <w:p w14:paraId="577C8A3A" w14:textId="0FA909D5" w:rsidR="003E42B1" w:rsidRPr="00787125" w:rsidRDefault="00F404C0" w:rsidP="007A2552">
            <w:pPr>
              <w:spacing w:before="0" w:after="0"/>
              <w:jc w:val="center"/>
              <w:rPr>
                <w:rFonts w:cs="Arial"/>
                <w:bCs/>
                <w:color w:val="000000"/>
                <w:sz w:val="22"/>
                <w:szCs w:val="22"/>
              </w:rPr>
            </w:pPr>
            <w:r w:rsidRPr="00787125">
              <w:rPr>
                <w:rFonts w:cs="Arial"/>
                <w:bCs/>
                <w:color w:val="000000"/>
                <w:sz w:val="22"/>
                <w:szCs w:val="22"/>
              </w:rPr>
              <w:t>1</w:t>
            </w:r>
            <w:r w:rsidR="008C1A72" w:rsidRPr="00787125">
              <w:rPr>
                <w:rFonts w:cs="Arial"/>
                <w:bCs/>
                <w:color w:val="000000"/>
                <w:sz w:val="22"/>
                <w:szCs w:val="22"/>
              </w:rPr>
              <w:t>3</w:t>
            </w:r>
          </w:p>
        </w:tc>
      </w:tr>
      <w:tr w:rsidR="003E42B1" w:rsidRPr="00864E23" w14:paraId="4B0620F9" w14:textId="77777777" w:rsidTr="003E42B1">
        <w:tc>
          <w:tcPr>
            <w:tcW w:w="3110" w:type="pct"/>
            <w:noWrap/>
            <w:vAlign w:val="bottom"/>
          </w:tcPr>
          <w:p w14:paraId="414548FC" w14:textId="77777777" w:rsidR="003E42B1" w:rsidRPr="00787125" w:rsidRDefault="003E42B1" w:rsidP="007A2552">
            <w:pPr>
              <w:spacing w:before="0" w:after="0"/>
              <w:jc w:val="left"/>
              <w:rPr>
                <w:rFonts w:cs="Arial"/>
                <w:bCs/>
                <w:color w:val="000000"/>
                <w:sz w:val="22"/>
                <w:szCs w:val="22"/>
              </w:rPr>
            </w:pPr>
            <w:r w:rsidRPr="00787125">
              <w:rPr>
                <w:rFonts w:cs="Arial"/>
                <w:bCs/>
                <w:color w:val="000000"/>
                <w:sz w:val="22"/>
                <w:szCs w:val="22"/>
              </w:rPr>
              <w:t>Longer-term need (2033/34 to 2035/36)</w:t>
            </w:r>
          </w:p>
        </w:tc>
        <w:tc>
          <w:tcPr>
            <w:tcW w:w="963" w:type="pct"/>
            <w:noWrap/>
            <w:vAlign w:val="center"/>
          </w:tcPr>
          <w:p w14:paraId="1A0DB8CD" w14:textId="6058DD4B" w:rsidR="003E42B1" w:rsidRPr="00787125" w:rsidRDefault="008C1A72" w:rsidP="007A2552">
            <w:pPr>
              <w:spacing w:before="0" w:after="0"/>
              <w:jc w:val="center"/>
              <w:rPr>
                <w:rFonts w:cs="Arial"/>
                <w:bCs/>
                <w:color w:val="000000"/>
                <w:sz w:val="22"/>
                <w:szCs w:val="22"/>
              </w:rPr>
            </w:pPr>
            <w:r w:rsidRPr="00787125">
              <w:rPr>
                <w:rFonts w:cs="Arial"/>
                <w:bCs/>
                <w:color w:val="000000"/>
                <w:sz w:val="22"/>
                <w:szCs w:val="22"/>
              </w:rPr>
              <w:t>8</w:t>
            </w:r>
          </w:p>
        </w:tc>
        <w:tc>
          <w:tcPr>
            <w:tcW w:w="927" w:type="pct"/>
            <w:noWrap/>
            <w:vAlign w:val="center"/>
          </w:tcPr>
          <w:p w14:paraId="1B774E5E" w14:textId="68BF2BF1" w:rsidR="003E42B1" w:rsidRPr="00787125" w:rsidRDefault="00F404C0" w:rsidP="007A2552">
            <w:pPr>
              <w:spacing w:before="0" w:after="0"/>
              <w:jc w:val="center"/>
              <w:rPr>
                <w:rFonts w:cs="Arial"/>
                <w:bCs/>
                <w:color w:val="000000"/>
                <w:sz w:val="22"/>
                <w:szCs w:val="22"/>
              </w:rPr>
            </w:pPr>
            <w:r w:rsidRPr="00787125">
              <w:rPr>
                <w:rFonts w:cs="Arial"/>
                <w:bCs/>
                <w:color w:val="000000"/>
                <w:sz w:val="22"/>
                <w:szCs w:val="22"/>
              </w:rPr>
              <w:t>8</w:t>
            </w:r>
          </w:p>
        </w:tc>
      </w:tr>
      <w:tr w:rsidR="003E42B1" w:rsidRPr="00ED573B" w14:paraId="125CA4F8" w14:textId="77777777" w:rsidTr="003E42B1">
        <w:trPr>
          <w:trHeight w:val="332"/>
        </w:trPr>
        <w:tc>
          <w:tcPr>
            <w:tcW w:w="3110" w:type="pct"/>
            <w:vAlign w:val="bottom"/>
            <w:hideMark/>
          </w:tcPr>
          <w:p w14:paraId="452BCC78" w14:textId="76749B4E" w:rsidR="003E42B1" w:rsidRPr="00787125" w:rsidRDefault="003E42B1" w:rsidP="007A2552">
            <w:pPr>
              <w:spacing w:before="0" w:after="0"/>
              <w:jc w:val="left"/>
              <w:rPr>
                <w:rFonts w:cs="Arial"/>
                <w:bCs/>
                <w:color w:val="000000"/>
                <w:sz w:val="22"/>
                <w:szCs w:val="22"/>
              </w:rPr>
            </w:pPr>
            <w:r w:rsidRPr="00787125">
              <w:rPr>
                <w:rFonts w:cs="Arial"/>
                <w:bCs/>
                <w:color w:val="000000"/>
                <w:sz w:val="22"/>
                <w:szCs w:val="22"/>
              </w:rPr>
              <w:t>TOTAL pitch need to 203</w:t>
            </w:r>
            <w:r w:rsidR="00934FFE" w:rsidRPr="00787125">
              <w:rPr>
                <w:rFonts w:cs="Arial"/>
                <w:bCs/>
                <w:color w:val="000000"/>
                <w:sz w:val="22"/>
                <w:szCs w:val="22"/>
              </w:rPr>
              <w:t>6</w:t>
            </w:r>
            <w:r w:rsidRPr="00787125">
              <w:rPr>
                <w:rFonts w:cs="Arial"/>
                <w:bCs/>
                <w:color w:val="000000"/>
                <w:sz w:val="22"/>
                <w:szCs w:val="22"/>
              </w:rPr>
              <w:t xml:space="preserve">  (Local Plan Period)</w:t>
            </w:r>
          </w:p>
        </w:tc>
        <w:tc>
          <w:tcPr>
            <w:tcW w:w="963" w:type="pct"/>
            <w:noWrap/>
            <w:vAlign w:val="center"/>
          </w:tcPr>
          <w:p w14:paraId="3C4FF388" w14:textId="38DA3FD4" w:rsidR="003E42B1" w:rsidRPr="00787125" w:rsidRDefault="008C1A72" w:rsidP="007A2552">
            <w:pPr>
              <w:spacing w:before="0" w:after="0"/>
              <w:jc w:val="center"/>
              <w:rPr>
                <w:rFonts w:cs="Arial"/>
                <w:bCs/>
                <w:color w:val="000000"/>
                <w:sz w:val="22"/>
                <w:szCs w:val="22"/>
              </w:rPr>
            </w:pPr>
            <w:r w:rsidRPr="00787125">
              <w:rPr>
                <w:rFonts w:cs="Arial"/>
                <w:bCs/>
                <w:color w:val="000000"/>
                <w:sz w:val="22"/>
                <w:szCs w:val="22"/>
              </w:rPr>
              <w:t>5</w:t>
            </w:r>
            <w:r w:rsidR="00787125" w:rsidRPr="00787125">
              <w:rPr>
                <w:rFonts w:cs="Arial"/>
                <w:bCs/>
                <w:color w:val="000000"/>
                <w:sz w:val="22"/>
                <w:szCs w:val="22"/>
              </w:rPr>
              <w:t>1</w:t>
            </w:r>
          </w:p>
        </w:tc>
        <w:tc>
          <w:tcPr>
            <w:tcW w:w="927" w:type="pct"/>
            <w:noWrap/>
            <w:vAlign w:val="center"/>
          </w:tcPr>
          <w:p w14:paraId="623E7D60" w14:textId="2F72F2D2" w:rsidR="003E42B1" w:rsidRPr="00787125" w:rsidRDefault="008C1A72" w:rsidP="007A2552">
            <w:pPr>
              <w:spacing w:before="0" w:after="0"/>
              <w:jc w:val="center"/>
              <w:rPr>
                <w:rFonts w:cs="Arial"/>
                <w:bCs/>
                <w:color w:val="000000"/>
                <w:sz w:val="22"/>
                <w:szCs w:val="22"/>
              </w:rPr>
            </w:pPr>
            <w:r w:rsidRPr="00787125">
              <w:rPr>
                <w:rFonts w:cs="Arial"/>
                <w:bCs/>
                <w:color w:val="000000"/>
                <w:sz w:val="22"/>
                <w:szCs w:val="22"/>
              </w:rPr>
              <w:t>4</w:t>
            </w:r>
            <w:r w:rsidR="00787125" w:rsidRPr="00787125">
              <w:rPr>
                <w:rFonts w:cs="Arial"/>
                <w:bCs/>
                <w:color w:val="000000"/>
                <w:sz w:val="22"/>
                <w:szCs w:val="22"/>
              </w:rPr>
              <w:t>8</w:t>
            </w:r>
          </w:p>
        </w:tc>
      </w:tr>
    </w:tbl>
    <w:p w14:paraId="07317073" w14:textId="77777777" w:rsidR="003E42B1" w:rsidRPr="002D791C" w:rsidRDefault="003E42B1" w:rsidP="007A2552">
      <w:pPr>
        <w:pStyle w:val="Reporttext"/>
        <w:numPr>
          <w:ilvl w:val="0"/>
          <w:numId w:val="0"/>
        </w:numPr>
        <w:ind w:left="709"/>
      </w:pPr>
    </w:p>
    <w:p w14:paraId="0EB3A1A7" w14:textId="66C324DD" w:rsidR="003E42B1" w:rsidRPr="002D791C" w:rsidRDefault="003E42B1" w:rsidP="0014458C">
      <w:pPr>
        <w:pStyle w:val="Reporttext"/>
      </w:pPr>
      <w:r w:rsidRPr="002D791C">
        <w:t xml:space="preserve">It is recommended that the Local Plan recognises there is a cultural </w:t>
      </w:r>
      <w:r w:rsidR="002D791C" w:rsidRPr="002D791C">
        <w:t xml:space="preserve">need for </w:t>
      </w:r>
      <w:r w:rsidR="008C1A72">
        <w:t>5</w:t>
      </w:r>
      <w:r w:rsidR="00787125">
        <w:t>1</w:t>
      </w:r>
      <w:r w:rsidR="002D791C" w:rsidRPr="002D791C">
        <w:t xml:space="preserve"> pitches and a P</w:t>
      </w:r>
      <w:r w:rsidRPr="002D791C">
        <w:t xml:space="preserve">PTS need for </w:t>
      </w:r>
      <w:r w:rsidR="008C1A72">
        <w:t>4</w:t>
      </w:r>
      <w:r w:rsidR="00787125">
        <w:t>8</w:t>
      </w:r>
      <w:r w:rsidR="00F404C0">
        <w:t xml:space="preserve"> </w:t>
      </w:r>
      <w:r w:rsidRPr="002D791C">
        <w:t xml:space="preserve">pitches over the plan period to 2036. </w:t>
      </w:r>
      <w:r w:rsidR="00AF21FD">
        <w:t>This equates to an annualised need of 2.</w:t>
      </w:r>
      <w:r w:rsidR="00787125">
        <w:t>8</w:t>
      </w:r>
      <w:r w:rsidR="00AF21FD">
        <w:t xml:space="preserve"> pitches (cultural) and 2.7 (PPTS). </w:t>
      </w:r>
      <w:r w:rsidR="008C1A72">
        <w:t>Key drivers of the need are households living on unauthorised sites and the number of children likely to form households over the plan period.</w:t>
      </w:r>
    </w:p>
    <w:p w14:paraId="1C4D4E26" w14:textId="77777777" w:rsidR="003E42B1" w:rsidRPr="007A2552" w:rsidRDefault="003E42B1" w:rsidP="007A2552">
      <w:pPr>
        <w:pStyle w:val="Reporttext"/>
        <w:numPr>
          <w:ilvl w:val="0"/>
          <w:numId w:val="0"/>
        </w:numPr>
        <w:ind w:left="709"/>
      </w:pPr>
    </w:p>
    <w:p w14:paraId="5CBBD069" w14:textId="77777777" w:rsidR="003E42B1" w:rsidRPr="002D791C" w:rsidRDefault="003E42B1" w:rsidP="003E42B1">
      <w:pPr>
        <w:pStyle w:val="Heading2"/>
      </w:pPr>
      <w:bookmarkStart w:id="276" w:name="_Toc13845491"/>
      <w:r w:rsidRPr="002D791C">
        <w:t>Options to address need</w:t>
      </w:r>
      <w:bookmarkEnd w:id="276"/>
    </w:p>
    <w:p w14:paraId="2C37265C" w14:textId="77777777" w:rsidR="003E42B1" w:rsidRPr="002D791C" w:rsidRDefault="003E42B1" w:rsidP="0014458C">
      <w:pPr>
        <w:pStyle w:val="Reporttext"/>
      </w:pPr>
      <w:r w:rsidRPr="002D791C">
        <w:t xml:space="preserve">Having established a substantial need for authorised pitches, the extent to which this need can be addressed through turnover, site expansion/intensification and regularisation (i.e. authorising sites) is now considered. </w:t>
      </w:r>
    </w:p>
    <w:p w14:paraId="5AC76592" w14:textId="77777777" w:rsidR="003E42B1" w:rsidRPr="002D791C" w:rsidRDefault="003E42B1" w:rsidP="007A2552">
      <w:pPr>
        <w:pStyle w:val="Reporttext"/>
        <w:numPr>
          <w:ilvl w:val="0"/>
          <w:numId w:val="0"/>
        </w:numPr>
        <w:ind w:left="709"/>
      </w:pPr>
    </w:p>
    <w:p w14:paraId="2E907D30" w14:textId="77777777" w:rsidR="003E42B1" w:rsidRPr="002D791C" w:rsidRDefault="003E42B1" w:rsidP="003E42B1">
      <w:pPr>
        <w:pStyle w:val="Heading3"/>
      </w:pPr>
      <w:bookmarkStart w:id="277" w:name="_Toc513761822"/>
      <w:r w:rsidRPr="002D791C">
        <w:t>Turnover on sites</w:t>
      </w:r>
      <w:bookmarkEnd w:id="277"/>
      <w:r w:rsidRPr="002D791C">
        <w:t xml:space="preserve"> </w:t>
      </w:r>
    </w:p>
    <w:p w14:paraId="781F6A88" w14:textId="4ECCBD06" w:rsidR="003E42B1" w:rsidRPr="002D791C" w:rsidRDefault="003E42B1" w:rsidP="0014458C">
      <w:pPr>
        <w:pStyle w:val="Reporttext"/>
      </w:pPr>
      <w:r w:rsidRPr="002D791C">
        <w:t xml:space="preserve">Turnover relates to the number of pitches that are expected to become available for occupancy. Analysis </w:t>
      </w:r>
      <w:r w:rsidR="00787125">
        <w:t xml:space="preserve">normally </w:t>
      </w:r>
      <w:r w:rsidRPr="002D791C">
        <w:t>only includes expected turnover on public sites as this is referenced in (former) CLG guidance and more accurate data on changes in pitch occupancy is likely to be available. Although there is likely to be turnover on private sites, the ability of households to move onto private sites may be more restrictive (for instance the site may be restricted to a particular family) and less likely to be recorded.</w:t>
      </w:r>
      <w:r w:rsidR="00787125">
        <w:t xml:space="preserve"> That said, there was strong evidence from the household survey of pitch vacancies arising at Paices Hill</w:t>
      </w:r>
      <w:r w:rsidR="00C47799">
        <w:t>,</w:t>
      </w:r>
      <w:r w:rsidR="00787125">
        <w:t xml:space="preserve"> which had allowed residents to move into the area and onto these pitches. 8 out of 13 households interviewed had lived on their pitch for less than five years and this would mean an annual turnover of 1.6 pitches (unweighted) and 2.3 pitches (weighted).</w:t>
      </w:r>
      <w:r w:rsidR="00CB79EC">
        <w:t xml:space="preserve"> Of households interviewed, 6 plan to move in the next five years (most did not know where they planned to move to) which would translate to an annual turnover of 1.2 (unweighted) or 1.7 (weighted). </w:t>
      </w:r>
    </w:p>
    <w:p w14:paraId="0CB471B7" w14:textId="5AE67166" w:rsidR="002D791C" w:rsidRDefault="002D791C" w:rsidP="0014458C">
      <w:pPr>
        <w:pStyle w:val="Reporttext"/>
      </w:pPr>
      <w:r>
        <w:t xml:space="preserve">Discussions with residents on the Four Houses Corner site indicated that the residents had lived on the site for some time and therefore </w:t>
      </w:r>
      <w:r w:rsidR="00C47799">
        <w:t xml:space="preserve">there was </w:t>
      </w:r>
      <w:r>
        <w:t xml:space="preserve">limited opportunity for new tenants to move onto the site. In addition, the site is currently subject to temporary decanting whilst refurbishment work is carried out and therefore it would be difficult to ascertain likely levels of turnover. </w:t>
      </w:r>
    </w:p>
    <w:p w14:paraId="55993A28" w14:textId="4FAB76D5" w:rsidR="00910A1A" w:rsidRDefault="00910A1A" w:rsidP="0014458C">
      <w:pPr>
        <w:pStyle w:val="Reporttext"/>
      </w:pPr>
      <w:r>
        <w:t xml:space="preserve">It is recommended that turnover is considered on Paices Hill </w:t>
      </w:r>
      <w:r w:rsidR="00B550ED">
        <w:t xml:space="preserve">as part of the modelling. Whilst this is a departure from our normal advice, the number of pitches on the site and the ability of people to move on and off the size warrants particular consideration. </w:t>
      </w:r>
      <w:r w:rsidR="0048335C">
        <w:t xml:space="preserve"> It is also important that the council attempts to monitor turnover on the site going forwards. </w:t>
      </w:r>
    </w:p>
    <w:p w14:paraId="4D19BF05" w14:textId="77777777" w:rsidR="002D791C" w:rsidRDefault="002D791C" w:rsidP="007A2552">
      <w:pPr>
        <w:rPr>
          <w:highlight w:val="red"/>
        </w:rPr>
      </w:pPr>
      <w:bookmarkStart w:id="278" w:name="_Toc513761823"/>
    </w:p>
    <w:p w14:paraId="3F663EA1" w14:textId="17D7CE80" w:rsidR="003E42B1" w:rsidRPr="002D791C" w:rsidRDefault="003E42B1" w:rsidP="003E42B1">
      <w:pPr>
        <w:pStyle w:val="Heading3"/>
      </w:pPr>
      <w:r w:rsidRPr="002D791C">
        <w:t xml:space="preserve">Potential capacity for additional Gypsy and Traveller pitches </w:t>
      </w:r>
      <w:bookmarkEnd w:id="278"/>
      <w:r w:rsidRPr="002D791C">
        <w:t>on existing sites</w:t>
      </w:r>
    </w:p>
    <w:p w14:paraId="015C56EF" w14:textId="0796C9D1" w:rsidR="002D791C" w:rsidRDefault="003E42B1" w:rsidP="0014458C">
      <w:pPr>
        <w:pStyle w:val="Reporttext"/>
        <w:rPr>
          <w:lang w:eastAsia="en-GB"/>
        </w:rPr>
      </w:pPr>
      <w:r w:rsidRPr="002D791C">
        <w:rPr>
          <w:lang w:eastAsia="en-GB"/>
        </w:rPr>
        <w:t xml:space="preserve">The household survey asked respondents if there was opportunity to expand or intensify existing sites to accommodate more pitches. </w:t>
      </w:r>
      <w:r w:rsidR="002D791C">
        <w:rPr>
          <w:lang w:eastAsia="en-GB"/>
        </w:rPr>
        <w:t xml:space="preserve">The general </w:t>
      </w:r>
      <w:r w:rsidR="00367C8A">
        <w:rPr>
          <w:lang w:eastAsia="en-GB"/>
        </w:rPr>
        <w:t>consensus</w:t>
      </w:r>
      <w:r w:rsidR="002D791C">
        <w:rPr>
          <w:lang w:eastAsia="en-GB"/>
        </w:rPr>
        <w:t xml:space="preserve"> was that existing </w:t>
      </w:r>
      <w:r w:rsidR="00AF21FD">
        <w:rPr>
          <w:lang w:eastAsia="en-GB"/>
        </w:rPr>
        <w:t xml:space="preserve">authorised </w:t>
      </w:r>
      <w:r w:rsidR="002D791C">
        <w:rPr>
          <w:lang w:eastAsia="en-GB"/>
        </w:rPr>
        <w:t>sites could not be intensified or expanded</w:t>
      </w:r>
      <w:r w:rsidR="00787125">
        <w:rPr>
          <w:lang w:eastAsia="en-GB"/>
        </w:rPr>
        <w:t>, although one respondent commented that Paices Hill could be expanded by 6 pitches</w:t>
      </w:r>
      <w:r w:rsidR="002D791C">
        <w:rPr>
          <w:lang w:eastAsia="en-GB"/>
        </w:rPr>
        <w:t xml:space="preserve">. </w:t>
      </w:r>
    </w:p>
    <w:p w14:paraId="68EB2C68" w14:textId="77777777" w:rsidR="003E42B1" w:rsidRPr="002D791C" w:rsidRDefault="003E42B1" w:rsidP="007A2552"/>
    <w:p w14:paraId="21138F37" w14:textId="77777777" w:rsidR="003E42B1" w:rsidRPr="002D791C" w:rsidRDefault="003E42B1" w:rsidP="003E42B1">
      <w:pPr>
        <w:pStyle w:val="Heading2"/>
        <w:ind w:left="709" w:firstLine="0"/>
      </w:pPr>
      <w:bookmarkStart w:id="279" w:name="_Toc13845492"/>
      <w:r w:rsidRPr="002D791C">
        <w:t>Impact on overall need</w:t>
      </w:r>
      <w:bookmarkEnd w:id="279"/>
    </w:p>
    <w:p w14:paraId="4F110480" w14:textId="162D333E" w:rsidR="00910A1A" w:rsidRDefault="00AF21FD" w:rsidP="0014458C">
      <w:pPr>
        <w:pStyle w:val="Reporttext"/>
      </w:pPr>
      <w:r>
        <w:t>In summary, t</w:t>
      </w:r>
      <w:r w:rsidR="002D791C" w:rsidRPr="002D791C">
        <w:t>here would be limited impact on overall need from turnover</w:t>
      </w:r>
      <w:r w:rsidR="00787125">
        <w:t xml:space="preserve"> from the Council site. However, </w:t>
      </w:r>
      <w:r w:rsidR="00910A1A">
        <w:t>turnover o</w:t>
      </w:r>
      <w:r w:rsidR="00787125">
        <w:t xml:space="preserve">n Paices Hill </w:t>
      </w:r>
      <w:r w:rsidR="00910A1A">
        <w:t>would</w:t>
      </w:r>
      <w:r w:rsidR="00787125">
        <w:t xml:space="preserve"> have a positive impact on helping to address the needs evidenced</w:t>
      </w:r>
      <w:r w:rsidR="0048335C">
        <w:t xml:space="preserve"> and it is recommended that turnover on this site is considered in the model and the council monitors turnover going forwards. </w:t>
      </w:r>
      <w:r w:rsidR="002D791C" w:rsidRPr="002D791C">
        <w:t xml:space="preserve"> </w:t>
      </w:r>
    </w:p>
    <w:p w14:paraId="1DF6E469" w14:textId="59E24AAD" w:rsidR="00787125" w:rsidRDefault="00787125" w:rsidP="0014458C">
      <w:pPr>
        <w:pStyle w:val="Reporttext"/>
      </w:pPr>
      <w:r>
        <w:t xml:space="preserve">The general </w:t>
      </w:r>
      <w:r w:rsidR="00FE1557">
        <w:t>consensus</w:t>
      </w:r>
      <w:r>
        <w:t xml:space="preserve"> from respondents was that none of the </w:t>
      </w:r>
      <w:r w:rsidR="00AF21FD">
        <w:t xml:space="preserve">existing authorised </w:t>
      </w:r>
      <w:r w:rsidR="002D791C" w:rsidRPr="002D791C">
        <w:t>sites could be intensified or extended to increase the number of pitches</w:t>
      </w:r>
      <w:r>
        <w:t xml:space="preserve">, although one respondent suggested 6 additional pitches could be developed at Paices Hill. </w:t>
      </w:r>
    </w:p>
    <w:p w14:paraId="3F445C39" w14:textId="4334FC93" w:rsidR="00C50F27" w:rsidRDefault="00C50F27" w:rsidP="00C50F27">
      <w:pPr>
        <w:pStyle w:val="Reporttext"/>
      </w:pPr>
      <w:r>
        <w:t>The impact of overall need on these factor</w:t>
      </w:r>
      <w:r w:rsidR="00C47799">
        <w:t>s</w:t>
      </w:r>
      <w:r>
        <w:t xml:space="preserve"> is considered in Table 7.5.</w:t>
      </w:r>
    </w:p>
    <w:p w14:paraId="08B94097" w14:textId="08B2C7B6" w:rsidR="00787125" w:rsidRDefault="00787125" w:rsidP="00787125"/>
    <w:p w14:paraId="4DA44664" w14:textId="322D49CA" w:rsidR="00CD5890" w:rsidRDefault="00CD5890">
      <w:pPr>
        <w:spacing w:before="0" w:after="0"/>
        <w:jc w:val="left"/>
      </w:pPr>
      <w:r>
        <w:br w:type="page"/>
      </w:r>
    </w:p>
    <w:tbl>
      <w:tblPr>
        <w:tblW w:w="500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6656"/>
        <w:gridCol w:w="1374"/>
        <w:gridCol w:w="1114"/>
      </w:tblGrid>
      <w:tr w:rsidR="00787125" w:rsidRPr="00CB444F" w14:paraId="0AFF9DD8" w14:textId="77777777" w:rsidTr="00CD5890">
        <w:tc>
          <w:tcPr>
            <w:tcW w:w="5000" w:type="pct"/>
            <w:gridSpan w:val="3"/>
            <w:tcBorders>
              <w:top w:val="single" w:sz="18" w:space="0" w:color="006666"/>
              <w:left w:val="single" w:sz="18" w:space="0" w:color="006666"/>
              <w:bottom w:val="single" w:sz="18" w:space="0" w:color="006666"/>
              <w:right w:val="single" w:sz="18" w:space="0" w:color="006666"/>
            </w:tcBorders>
            <w:shd w:val="clear" w:color="auto" w:fill="009999"/>
            <w:noWrap/>
            <w:vAlign w:val="bottom"/>
            <w:hideMark/>
          </w:tcPr>
          <w:p w14:paraId="0E3E66EF" w14:textId="5979E720" w:rsidR="00787125" w:rsidRPr="00CB444F" w:rsidRDefault="00787125" w:rsidP="00FE1557">
            <w:pPr>
              <w:pStyle w:val="tableheading"/>
              <w:rPr>
                <w:bCs/>
                <w:szCs w:val="22"/>
                <w:lang w:eastAsia="en-GB"/>
              </w:rPr>
            </w:pPr>
            <w:bookmarkStart w:id="280" w:name="_Toc13845517"/>
            <w:r>
              <w:rPr>
                <w:szCs w:val="22"/>
                <w:lang w:eastAsia="en-GB"/>
              </w:rPr>
              <w:t>Table 7.5</w:t>
            </w:r>
            <w:r w:rsidRPr="00CB444F">
              <w:rPr>
                <w:szCs w:val="22"/>
                <w:lang w:eastAsia="en-GB"/>
              </w:rPr>
              <w:tab/>
            </w:r>
            <w:r>
              <w:rPr>
                <w:szCs w:val="22"/>
                <w:lang w:eastAsia="en-GB"/>
              </w:rPr>
              <w:t>Addressing Gypsy and Traveller pitch need</w:t>
            </w:r>
            <w:bookmarkEnd w:id="280"/>
          </w:p>
        </w:tc>
      </w:tr>
      <w:tr w:rsidR="00787125" w:rsidRPr="00CB444F" w14:paraId="464131E2" w14:textId="77777777" w:rsidTr="00CD5890">
        <w:tc>
          <w:tcPr>
            <w:tcW w:w="3640" w:type="pct"/>
            <w:tcBorders>
              <w:top w:val="single" w:sz="18" w:space="0" w:color="006666"/>
              <w:left w:val="single" w:sz="18" w:space="0" w:color="006666"/>
              <w:bottom w:val="single" w:sz="18" w:space="0" w:color="006666"/>
              <w:right w:val="single" w:sz="18" w:space="0" w:color="006666"/>
            </w:tcBorders>
            <w:shd w:val="clear" w:color="auto" w:fill="009999"/>
            <w:noWrap/>
            <w:vAlign w:val="bottom"/>
            <w:hideMark/>
          </w:tcPr>
          <w:p w14:paraId="0B5711BB" w14:textId="77777777" w:rsidR="00787125" w:rsidRPr="00CB444F" w:rsidRDefault="00787125" w:rsidP="00FE1557">
            <w:pPr>
              <w:spacing w:beforeLines="20" w:before="48" w:afterLines="20" w:after="48"/>
              <w:rPr>
                <w:rFonts w:cs="Arial"/>
                <w:color w:val="000000"/>
                <w:sz w:val="22"/>
                <w:szCs w:val="22"/>
              </w:rPr>
            </w:pPr>
            <w:r w:rsidRPr="00CB444F">
              <w:rPr>
                <w:rFonts w:cs="Arial"/>
                <w:color w:val="000000"/>
                <w:sz w:val="22"/>
                <w:szCs w:val="22"/>
              </w:rPr>
              <w:t> </w:t>
            </w:r>
          </w:p>
        </w:tc>
        <w:tc>
          <w:tcPr>
            <w:tcW w:w="751" w:type="pct"/>
            <w:tcBorders>
              <w:left w:val="single" w:sz="18" w:space="0" w:color="006666"/>
              <w:bottom w:val="single" w:sz="18" w:space="0" w:color="006666"/>
              <w:right w:val="single" w:sz="18" w:space="0" w:color="006666"/>
            </w:tcBorders>
            <w:shd w:val="clear" w:color="auto" w:fill="009999"/>
            <w:noWrap/>
            <w:vAlign w:val="bottom"/>
            <w:hideMark/>
          </w:tcPr>
          <w:p w14:paraId="264FF77F" w14:textId="77777777" w:rsidR="00787125" w:rsidRPr="00CB444F" w:rsidRDefault="00787125" w:rsidP="00FE1557">
            <w:pPr>
              <w:spacing w:beforeLines="20" w:before="48" w:afterLines="20" w:after="48"/>
              <w:jc w:val="center"/>
              <w:rPr>
                <w:b/>
                <w:color w:val="FFFFFF"/>
                <w:sz w:val="22"/>
                <w:szCs w:val="22"/>
              </w:rPr>
            </w:pPr>
            <w:r w:rsidRPr="00CB444F">
              <w:rPr>
                <w:b/>
                <w:color w:val="FFFFFF"/>
                <w:sz w:val="22"/>
                <w:szCs w:val="22"/>
              </w:rPr>
              <w:t>Cultural need</w:t>
            </w:r>
          </w:p>
        </w:tc>
        <w:tc>
          <w:tcPr>
            <w:tcW w:w="609" w:type="pct"/>
            <w:tcBorders>
              <w:left w:val="single" w:sz="18" w:space="0" w:color="006666"/>
              <w:bottom w:val="single" w:sz="18" w:space="0" w:color="006666"/>
              <w:right w:val="single" w:sz="18" w:space="0" w:color="006666"/>
            </w:tcBorders>
            <w:shd w:val="clear" w:color="auto" w:fill="009999"/>
            <w:noWrap/>
            <w:vAlign w:val="bottom"/>
            <w:hideMark/>
          </w:tcPr>
          <w:p w14:paraId="64D67E54" w14:textId="77777777" w:rsidR="00787125" w:rsidRPr="00CB444F" w:rsidRDefault="00787125" w:rsidP="00FE1557">
            <w:pPr>
              <w:spacing w:beforeLines="20" w:before="48" w:afterLines="20" w:after="48"/>
              <w:jc w:val="center"/>
              <w:rPr>
                <w:b/>
                <w:color w:val="FFFFFF"/>
                <w:sz w:val="22"/>
                <w:szCs w:val="22"/>
              </w:rPr>
            </w:pPr>
            <w:r w:rsidRPr="00CB444F">
              <w:rPr>
                <w:b/>
                <w:color w:val="FFFFFF"/>
                <w:sz w:val="22"/>
                <w:szCs w:val="22"/>
              </w:rPr>
              <w:t xml:space="preserve">Of which: </w:t>
            </w:r>
          </w:p>
          <w:p w14:paraId="13B94964" w14:textId="77777777" w:rsidR="00787125" w:rsidRPr="00CB444F" w:rsidRDefault="00787125" w:rsidP="00FE1557">
            <w:pPr>
              <w:spacing w:beforeLines="20" w:before="48" w:afterLines="20" w:after="48"/>
              <w:jc w:val="center"/>
              <w:rPr>
                <w:b/>
                <w:color w:val="FFFFFF"/>
                <w:sz w:val="22"/>
                <w:szCs w:val="22"/>
              </w:rPr>
            </w:pPr>
            <w:r w:rsidRPr="00CB444F">
              <w:rPr>
                <w:b/>
                <w:color w:val="FFFFFF"/>
                <w:sz w:val="22"/>
                <w:szCs w:val="22"/>
              </w:rPr>
              <w:t>PPTS need</w:t>
            </w:r>
          </w:p>
        </w:tc>
      </w:tr>
      <w:tr w:rsidR="00787125" w:rsidRPr="00BA5A04" w14:paraId="060E7D7E" w14:textId="77777777" w:rsidTr="00CD5890">
        <w:tc>
          <w:tcPr>
            <w:tcW w:w="3640" w:type="pct"/>
            <w:tcBorders>
              <w:top w:val="single" w:sz="18" w:space="0" w:color="006666"/>
              <w:left w:val="single" w:sz="18" w:space="0" w:color="006666"/>
              <w:bottom w:val="single" w:sz="8" w:space="0" w:color="006666"/>
              <w:right w:val="single" w:sz="8" w:space="0" w:color="006666"/>
            </w:tcBorders>
            <w:noWrap/>
            <w:vAlign w:val="bottom"/>
          </w:tcPr>
          <w:p w14:paraId="4E23798D" w14:textId="77777777" w:rsidR="00787125" w:rsidRPr="00BA5A04" w:rsidRDefault="00787125" w:rsidP="00FE1557">
            <w:pPr>
              <w:spacing w:beforeLines="20" w:before="48" w:afterLines="20" w:after="48"/>
              <w:rPr>
                <w:rFonts w:cs="Arial"/>
                <w:b/>
                <w:bCs/>
                <w:color w:val="000000"/>
                <w:sz w:val="22"/>
                <w:szCs w:val="22"/>
              </w:rPr>
            </w:pPr>
            <w:r w:rsidRPr="00BA5A04">
              <w:rPr>
                <w:rFonts w:cs="Arial"/>
                <w:b/>
                <w:bCs/>
                <w:color w:val="000000"/>
                <w:sz w:val="22"/>
                <w:szCs w:val="22"/>
              </w:rPr>
              <w:t xml:space="preserve">TOTAL pitch need </w:t>
            </w:r>
            <w:r>
              <w:rPr>
                <w:rFonts w:cs="Arial"/>
                <w:b/>
                <w:bCs/>
                <w:color w:val="000000"/>
                <w:sz w:val="22"/>
                <w:szCs w:val="22"/>
              </w:rPr>
              <w:t xml:space="preserve">for  the five year period 2018/19 to 2022/23 </w:t>
            </w:r>
            <w:r w:rsidRPr="00BA5A04">
              <w:rPr>
                <w:rFonts w:cs="Arial"/>
                <w:b/>
                <w:bCs/>
                <w:color w:val="000000"/>
                <w:sz w:val="22"/>
                <w:szCs w:val="22"/>
              </w:rPr>
              <w:t xml:space="preserve"> </w:t>
            </w:r>
            <w:r>
              <w:rPr>
                <w:rFonts w:cs="Arial"/>
                <w:b/>
                <w:bCs/>
                <w:color w:val="000000"/>
                <w:sz w:val="22"/>
                <w:szCs w:val="22"/>
              </w:rPr>
              <w:t>(A)</w:t>
            </w:r>
          </w:p>
        </w:tc>
        <w:tc>
          <w:tcPr>
            <w:tcW w:w="751" w:type="pct"/>
            <w:tcBorders>
              <w:top w:val="single" w:sz="18" w:space="0" w:color="006666"/>
              <w:left w:val="single" w:sz="8" w:space="0" w:color="006666"/>
              <w:bottom w:val="single" w:sz="8" w:space="0" w:color="006666"/>
              <w:right w:val="single" w:sz="8" w:space="0" w:color="006666"/>
            </w:tcBorders>
            <w:noWrap/>
            <w:vAlign w:val="center"/>
          </w:tcPr>
          <w:p w14:paraId="41FAF6E1" w14:textId="77777777" w:rsidR="00787125" w:rsidRDefault="00787125" w:rsidP="00FE1557">
            <w:pPr>
              <w:spacing w:beforeLines="20" w:before="48" w:afterLines="20" w:after="48"/>
              <w:jc w:val="center"/>
              <w:rPr>
                <w:rFonts w:cs="Arial"/>
                <w:b/>
                <w:bCs/>
                <w:color w:val="000000"/>
                <w:sz w:val="22"/>
                <w:szCs w:val="22"/>
              </w:rPr>
            </w:pPr>
            <w:r>
              <w:rPr>
                <w:rFonts w:cs="Arial"/>
                <w:b/>
                <w:bCs/>
                <w:color w:val="000000"/>
                <w:sz w:val="22"/>
                <w:szCs w:val="22"/>
              </w:rPr>
              <w:t>20</w:t>
            </w:r>
          </w:p>
        </w:tc>
        <w:tc>
          <w:tcPr>
            <w:tcW w:w="609" w:type="pct"/>
            <w:tcBorders>
              <w:top w:val="single" w:sz="18" w:space="0" w:color="006666"/>
              <w:left w:val="single" w:sz="8" w:space="0" w:color="006666"/>
              <w:bottom w:val="single" w:sz="8" w:space="0" w:color="006666"/>
              <w:right w:val="single" w:sz="18" w:space="0" w:color="006666"/>
            </w:tcBorders>
            <w:noWrap/>
            <w:vAlign w:val="center"/>
          </w:tcPr>
          <w:p w14:paraId="53DDFBB7" w14:textId="77777777" w:rsidR="00787125" w:rsidRDefault="00787125" w:rsidP="00FE1557">
            <w:pPr>
              <w:spacing w:beforeLines="20" w:before="48" w:afterLines="20" w:after="48"/>
              <w:jc w:val="center"/>
              <w:rPr>
                <w:rFonts w:cs="Arial"/>
                <w:b/>
                <w:bCs/>
                <w:color w:val="000000"/>
                <w:sz w:val="22"/>
                <w:szCs w:val="22"/>
              </w:rPr>
            </w:pPr>
            <w:r>
              <w:rPr>
                <w:rFonts w:cs="Arial"/>
                <w:b/>
                <w:bCs/>
                <w:color w:val="000000"/>
                <w:sz w:val="22"/>
                <w:szCs w:val="22"/>
              </w:rPr>
              <w:t>18</w:t>
            </w:r>
          </w:p>
        </w:tc>
      </w:tr>
      <w:tr w:rsidR="00787125" w:rsidRPr="00BA5A04" w14:paraId="3917879B" w14:textId="77777777" w:rsidTr="00CD5890">
        <w:tc>
          <w:tcPr>
            <w:tcW w:w="3640" w:type="pct"/>
            <w:tcBorders>
              <w:top w:val="single" w:sz="8" w:space="0" w:color="006666"/>
              <w:left w:val="single" w:sz="18" w:space="0" w:color="006666"/>
              <w:bottom w:val="single" w:sz="8" w:space="0" w:color="006666"/>
              <w:right w:val="single" w:sz="8" w:space="0" w:color="006666"/>
            </w:tcBorders>
            <w:noWrap/>
            <w:vAlign w:val="bottom"/>
            <w:hideMark/>
          </w:tcPr>
          <w:p w14:paraId="74F0EE5D" w14:textId="77777777" w:rsidR="00787125" w:rsidRPr="00BA5A04" w:rsidRDefault="00787125" w:rsidP="00FE1557">
            <w:pPr>
              <w:spacing w:beforeLines="20" w:before="48" w:afterLines="20" w:after="48"/>
              <w:rPr>
                <w:rFonts w:cs="Arial"/>
                <w:b/>
                <w:bCs/>
                <w:color w:val="000000"/>
                <w:sz w:val="22"/>
                <w:szCs w:val="22"/>
              </w:rPr>
            </w:pPr>
            <w:r w:rsidRPr="00787125">
              <w:rPr>
                <w:rFonts w:cs="Arial"/>
                <w:b/>
                <w:bCs/>
                <w:color w:val="000000"/>
                <w:sz w:val="22"/>
                <w:szCs w:val="22"/>
              </w:rPr>
              <w:t xml:space="preserve">TOTAL pitch need for remainder of the plan period 2023/24 to  2035/36 </w:t>
            </w:r>
            <w:r>
              <w:rPr>
                <w:rFonts w:cs="Arial"/>
                <w:b/>
                <w:bCs/>
                <w:color w:val="000000"/>
                <w:sz w:val="22"/>
                <w:szCs w:val="22"/>
              </w:rPr>
              <w:t>(B)</w:t>
            </w:r>
          </w:p>
        </w:tc>
        <w:tc>
          <w:tcPr>
            <w:tcW w:w="751" w:type="pct"/>
            <w:tcBorders>
              <w:top w:val="single" w:sz="8" w:space="0" w:color="006666"/>
              <w:left w:val="single" w:sz="8" w:space="0" w:color="006666"/>
              <w:bottom w:val="single" w:sz="8" w:space="0" w:color="006666"/>
              <w:right w:val="single" w:sz="8" w:space="0" w:color="006666"/>
            </w:tcBorders>
            <w:noWrap/>
            <w:vAlign w:val="center"/>
            <w:hideMark/>
          </w:tcPr>
          <w:p w14:paraId="59F54A56" w14:textId="77777777" w:rsidR="00787125" w:rsidRPr="00BA5A04" w:rsidRDefault="00787125" w:rsidP="00FE1557">
            <w:pPr>
              <w:spacing w:beforeLines="20" w:before="48" w:afterLines="20" w:after="48"/>
              <w:jc w:val="center"/>
              <w:rPr>
                <w:rFonts w:cs="Arial"/>
                <w:b/>
                <w:bCs/>
                <w:color w:val="000000"/>
                <w:sz w:val="22"/>
                <w:szCs w:val="22"/>
              </w:rPr>
            </w:pPr>
            <w:r w:rsidRPr="00787125">
              <w:rPr>
                <w:rFonts w:cs="Arial"/>
                <w:b/>
                <w:bCs/>
                <w:color w:val="000000"/>
                <w:sz w:val="22"/>
                <w:szCs w:val="22"/>
              </w:rPr>
              <w:t>31</w:t>
            </w:r>
          </w:p>
        </w:tc>
        <w:tc>
          <w:tcPr>
            <w:tcW w:w="609" w:type="pct"/>
            <w:tcBorders>
              <w:top w:val="single" w:sz="8" w:space="0" w:color="006666"/>
              <w:left w:val="single" w:sz="8" w:space="0" w:color="006666"/>
              <w:bottom w:val="single" w:sz="8" w:space="0" w:color="006666"/>
              <w:right w:val="single" w:sz="18" w:space="0" w:color="006666"/>
            </w:tcBorders>
            <w:noWrap/>
            <w:vAlign w:val="center"/>
            <w:hideMark/>
          </w:tcPr>
          <w:p w14:paraId="3231BC74" w14:textId="77777777" w:rsidR="00787125" w:rsidRPr="00BA5A04" w:rsidRDefault="00787125" w:rsidP="00FE1557">
            <w:pPr>
              <w:spacing w:beforeLines="20" w:before="48" w:afterLines="20" w:after="48"/>
              <w:jc w:val="center"/>
              <w:rPr>
                <w:rFonts w:cs="Arial"/>
                <w:b/>
                <w:bCs/>
                <w:color w:val="000000"/>
                <w:sz w:val="22"/>
                <w:szCs w:val="22"/>
              </w:rPr>
            </w:pPr>
            <w:r w:rsidRPr="00787125">
              <w:rPr>
                <w:rFonts w:cs="Arial"/>
                <w:b/>
                <w:bCs/>
                <w:color w:val="000000"/>
                <w:sz w:val="22"/>
                <w:szCs w:val="22"/>
              </w:rPr>
              <w:t>30</w:t>
            </w:r>
          </w:p>
        </w:tc>
      </w:tr>
      <w:tr w:rsidR="00787125" w:rsidRPr="00BA5A04" w14:paraId="17FC1AC6" w14:textId="77777777" w:rsidTr="00CD5890">
        <w:tc>
          <w:tcPr>
            <w:tcW w:w="3640" w:type="pct"/>
            <w:tcBorders>
              <w:top w:val="single" w:sz="8" w:space="0" w:color="006666"/>
              <w:left w:val="single" w:sz="18" w:space="0" w:color="006666"/>
              <w:bottom w:val="single" w:sz="18" w:space="0" w:color="006666"/>
              <w:right w:val="single" w:sz="8" w:space="0" w:color="006666"/>
            </w:tcBorders>
            <w:noWrap/>
            <w:vAlign w:val="bottom"/>
          </w:tcPr>
          <w:p w14:paraId="56BA1A80" w14:textId="77777777" w:rsidR="00787125" w:rsidRPr="00787125" w:rsidRDefault="00787125" w:rsidP="00FE1557">
            <w:pPr>
              <w:spacing w:beforeLines="20" w:before="48" w:afterLines="20" w:after="48"/>
              <w:rPr>
                <w:rFonts w:cs="Arial"/>
                <w:b/>
                <w:bCs/>
                <w:color w:val="000000"/>
                <w:sz w:val="22"/>
                <w:szCs w:val="22"/>
              </w:rPr>
            </w:pPr>
            <w:r>
              <w:rPr>
                <w:rFonts w:cs="Arial"/>
                <w:b/>
                <w:bCs/>
                <w:color w:val="000000"/>
                <w:sz w:val="22"/>
                <w:szCs w:val="22"/>
              </w:rPr>
              <w:t>Total pitch need over the plan period 2018/19 to 2035/36 (C=A+B)</w:t>
            </w:r>
          </w:p>
        </w:tc>
        <w:tc>
          <w:tcPr>
            <w:tcW w:w="751" w:type="pct"/>
            <w:tcBorders>
              <w:top w:val="single" w:sz="8" w:space="0" w:color="006666"/>
              <w:left w:val="single" w:sz="8" w:space="0" w:color="006666"/>
              <w:bottom w:val="single" w:sz="18" w:space="0" w:color="006666"/>
              <w:right w:val="single" w:sz="8" w:space="0" w:color="006666"/>
            </w:tcBorders>
            <w:noWrap/>
            <w:vAlign w:val="center"/>
          </w:tcPr>
          <w:p w14:paraId="3C978E7F" w14:textId="77777777" w:rsidR="00787125" w:rsidRPr="00787125" w:rsidRDefault="00787125" w:rsidP="00FE1557">
            <w:pPr>
              <w:spacing w:beforeLines="20" w:before="48" w:afterLines="20" w:after="48"/>
              <w:jc w:val="center"/>
              <w:rPr>
                <w:rFonts w:cs="Arial"/>
                <w:b/>
                <w:bCs/>
                <w:color w:val="000000"/>
                <w:sz w:val="22"/>
                <w:szCs w:val="22"/>
              </w:rPr>
            </w:pPr>
            <w:r>
              <w:rPr>
                <w:rFonts w:cs="Arial"/>
                <w:b/>
                <w:bCs/>
                <w:color w:val="000000"/>
                <w:sz w:val="22"/>
                <w:szCs w:val="22"/>
              </w:rPr>
              <w:t>51</w:t>
            </w:r>
          </w:p>
        </w:tc>
        <w:tc>
          <w:tcPr>
            <w:tcW w:w="609" w:type="pct"/>
            <w:tcBorders>
              <w:top w:val="single" w:sz="8" w:space="0" w:color="006666"/>
              <w:left w:val="single" w:sz="8" w:space="0" w:color="006666"/>
              <w:bottom w:val="single" w:sz="18" w:space="0" w:color="006666"/>
              <w:right w:val="single" w:sz="18" w:space="0" w:color="006666"/>
            </w:tcBorders>
            <w:noWrap/>
            <w:vAlign w:val="center"/>
          </w:tcPr>
          <w:p w14:paraId="1D426A7E" w14:textId="77777777" w:rsidR="00787125" w:rsidRPr="00787125" w:rsidRDefault="00787125" w:rsidP="00FE1557">
            <w:pPr>
              <w:spacing w:beforeLines="20" w:before="48" w:afterLines="20" w:after="48"/>
              <w:jc w:val="center"/>
              <w:rPr>
                <w:rFonts w:cs="Arial"/>
                <w:b/>
                <w:bCs/>
                <w:color w:val="000000"/>
                <w:sz w:val="22"/>
                <w:szCs w:val="22"/>
              </w:rPr>
            </w:pPr>
            <w:r>
              <w:rPr>
                <w:rFonts w:cs="Arial"/>
                <w:b/>
                <w:bCs/>
                <w:color w:val="000000"/>
                <w:sz w:val="22"/>
                <w:szCs w:val="22"/>
              </w:rPr>
              <w:t>48</w:t>
            </w:r>
          </w:p>
        </w:tc>
      </w:tr>
      <w:tr w:rsidR="00787125" w:rsidRPr="00BA5A04" w14:paraId="1F9A7EFD" w14:textId="77777777" w:rsidTr="00CD5890">
        <w:tc>
          <w:tcPr>
            <w:tcW w:w="5000" w:type="pct"/>
            <w:gridSpan w:val="3"/>
            <w:tcBorders>
              <w:top w:val="single" w:sz="18" w:space="0" w:color="006666"/>
              <w:left w:val="single" w:sz="18" w:space="0" w:color="006666"/>
              <w:bottom w:val="single" w:sz="8" w:space="0" w:color="006666"/>
              <w:right w:val="single" w:sz="18" w:space="0" w:color="006666"/>
            </w:tcBorders>
            <w:vAlign w:val="bottom"/>
          </w:tcPr>
          <w:p w14:paraId="3D9BDDD8" w14:textId="77777777" w:rsidR="00787125" w:rsidRDefault="00787125" w:rsidP="00FE1557">
            <w:pPr>
              <w:spacing w:beforeLines="20" w:before="48" w:afterLines="20" w:after="48"/>
              <w:rPr>
                <w:rFonts w:cs="Arial"/>
                <w:bCs/>
                <w:i/>
                <w:color w:val="000000"/>
                <w:sz w:val="22"/>
                <w:szCs w:val="22"/>
              </w:rPr>
            </w:pPr>
            <w:r>
              <w:rPr>
                <w:rFonts w:cs="Arial"/>
                <w:bCs/>
                <w:i/>
                <w:color w:val="000000"/>
                <w:sz w:val="22"/>
                <w:szCs w:val="22"/>
              </w:rPr>
              <w:t>Potential supply of pitches in five year period 2018/19 to 2022/23</w:t>
            </w:r>
          </w:p>
        </w:tc>
      </w:tr>
      <w:tr w:rsidR="00787125" w:rsidRPr="00BA5A04" w14:paraId="036494C2" w14:textId="77777777" w:rsidTr="00CD5890">
        <w:tc>
          <w:tcPr>
            <w:tcW w:w="3640" w:type="pct"/>
            <w:tcBorders>
              <w:top w:val="single" w:sz="8" w:space="0" w:color="006666"/>
              <w:left w:val="single" w:sz="18" w:space="0" w:color="006666"/>
              <w:bottom w:val="single" w:sz="8" w:space="0" w:color="006666"/>
              <w:right w:val="single" w:sz="8" w:space="0" w:color="006666"/>
            </w:tcBorders>
            <w:vAlign w:val="bottom"/>
          </w:tcPr>
          <w:p w14:paraId="05066962" w14:textId="77777777" w:rsidR="00787125" w:rsidRPr="00504198" w:rsidRDefault="00787125" w:rsidP="00FE1557">
            <w:pPr>
              <w:rPr>
                <w:rFonts w:cs="Arial"/>
                <w:bCs/>
                <w:i/>
                <w:color w:val="000000"/>
                <w:sz w:val="22"/>
                <w:szCs w:val="22"/>
              </w:rPr>
            </w:pPr>
            <w:r w:rsidRPr="00BA5A04">
              <w:rPr>
                <w:rFonts w:cs="Arial"/>
                <w:b/>
                <w:bCs/>
                <w:color w:val="000000"/>
                <w:sz w:val="22"/>
                <w:szCs w:val="22"/>
              </w:rPr>
              <w:t xml:space="preserve">TOTAL pitch need </w:t>
            </w:r>
            <w:r>
              <w:rPr>
                <w:rFonts w:cs="Arial"/>
                <w:b/>
                <w:bCs/>
                <w:color w:val="000000"/>
                <w:sz w:val="22"/>
                <w:szCs w:val="22"/>
              </w:rPr>
              <w:t xml:space="preserve">for  the five year period 2018/19 to 2022/23 </w:t>
            </w:r>
            <w:r w:rsidRPr="00BA5A04">
              <w:rPr>
                <w:rFonts w:cs="Arial"/>
                <w:b/>
                <w:bCs/>
                <w:color w:val="000000"/>
                <w:sz w:val="22"/>
                <w:szCs w:val="22"/>
              </w:rPr>
              <w:t xml:space="preserve"> </w:t>
            </w:r>
            <w:r>
              <w:rPr>
                <w:rFonts w:cs="Arial"/>
                <w:b/>
                <w:bCs/>
                <w:color w:val="000000"/>
                <w:sz w:val="22"/>
                <w:szCs w:val="22"/>
              </w:rPr>
              <w:t>(A)</w:t>
            </w:r>
          </w:p>
        </w:tc>
        <w:tc>
          <w:tcPr>
            <w:tcW w:w="751" w:type="pct"/>
            <w:tcBorders>
              <w:top w:val="single" w:sz="8" w:space="0" w:color="006666"/>
              <w:left w:val="single" w:sz="8" w:space="0" w:color="006666"/>
              <w:bottom w:val="single" w:sz="8" w:space="0" w:color="006666"/>
              <w:right w:val="single" w:sz="8" w:space="0" w:color="006666"/>
            </w:tcBorders>
            <w:noWrap/>
            <w:vAlign w:val="center"/>
          </w:tcPr>
          <w:p w14:paraId="6205944A" w14:textId="77777777" w:rsidR="00787125" w:rsidRDefault="00787125" w:rsidP="00FE1557">
            <w:pPr>
              <w:spacing w:beforeLines="20" w:before="48" w:afterLines="20" w:after="48"/>
              <w:jc w:val="center"/>
              <w:rPr>
                <w:rFonts w:cs="Arial"/>
                <w:bCs/>
                <w:i/>
                <w:color w:val="000000"/>
                <w:sz w:val="22"/>
                <w:szCs w:val="22"/>
              </w:rPr>
            </w:pPr>
            <w:r>
              <w:rPr>
                <w:rFonts w:cs="Arial"/>
                <w:b/>
                <w:bCs/>
                <w:color w:val="000000"/>
                <w:sz w:val="22"/>
                <w:szCs w:val="22"/>
              </w:rPr>
              <w:t>20</w:t>
            </w:r>
          </w:p>
        </w:tc>
        <w:tc>
          <w:tcPr>
            <w:tcW w:w="609" w:type="pct"/>
            <w:tcBorders>
              <w:top w:val="single" w:sz="8" w:space="0" w:color="006666"/>
              <w:left w:val="single" w:sz="8" w:space="0" w:color="006666"/>
              <w:bottom w:val="single" w:sz="8" w:space="0" w:color="006666"/>
              <w:right w:val="single" w:sz="18" w:space="0" w:color="006666"/>
            </w:tcBorders>
            <w:noWrap/>
            <w:vAlign w:val="center"/>
          </w:tcPr>
          <w:p w14:paraId="0B16C3DC" w14:textId="77777777" w:rsidR="00787125" w:rsidRDefault="00787125" w:rsidP="00FE1557">
            <w:pPr>
              <w:spacing w:beforeLines="20" w:before="48" w:afterLines="20" w:after="48"/>
              <w:jc w:val="center"/>
              <w:rPr>
                <w:rFonts w:cs="Arial"/>
                <w:bCs/>
                <w:i/>
                <w:color w:val="000000"/>
                <w:sz w:val="22"/>
                <w:szCs w:val="22"/>
              </w:rPr>
            </w:pPr>
            <w:r>
              <w:rPr>
                <w:rFonts w:cs="Arial"/>
                <w:b/>
                <w:bCs/>
                <w:color w:val="000000"/>
                <w:sz w:val="22"/>
                <w:szCs w:val="22"/>
              </w:rPr>
              <w:t>18</w:t>
            </w:r>
          </w:p>
        </w:tc>
      </w:tr>
      <w:tr w:rsidR="00787125" w:rsidRPr="00BA5A04" w14:paraId="3D87EB60" w14:textId="77777777" w:rsidTr="00CD5890">
        <w:tc>
          <w:tcPr>
            <w:tcW w:w="3640" w:type="pct"/>
            <w:tcBorders>
              <w:top w:val="single" w:sz="8" w:space="0" w:color="006666"/>
              <w:left w:val="single" w:sz="18" w:space="0" w:color="006666"/>
              <w:bottom w:val="single" w:sz="8" w:space="0" w:color="006666"/>
              <w:right w:val="single" w:sz="8" w:space="0" w:color="006666"/>
            </w:tcBorders>
            <w:vAlign w:val="bottom"/>
          </w:tcPr>
          <w:p w14:paraId="44AB950B" w14:textId="77777777" w:rsidR="00787125" w:rsidRPr="00504198" w:rsidRDefault="00787125" w:rsidP="00FE1557">
            <w:pPr>
              <w:rPr>
                <w:rFonts w:cs="Arial"/>
                <w:b/>
                <w:bCs/>
                <w:i/>
                <w:color w:val="000000"/>
                <w:sz w:val="22"/>
                <w:szCs w:val="22"/>
              </w:rPr>
            </w:pPr>
            <w:r w:rsidRPr="00504198">
              <w:rPr>
                <w:rFonts w:cs="Arial"/>
                <w:bCs/>
                <w:i/>
                <w:color w:val="000000"/>
                <w:sz w:val="22"/>
                <w:szCs w:val="22"/>
              </w:rPr>
              <w:t>Pitches expected to become available through turnover on pitches on Council site 201</w:t>
            </w:r>
            <w:r>
              <w:rPr>
                <w:rFonts w:cs="Arial"/>
                <w:bCs/>
                <w:i/>
                <w:color w:val="000000"/>
                <w:sz w:val="22"/>
                <w:szCs w:val="22"/>
              </w:rPr>
              <w:t>8</w:t>
            </w:r>
            <w:r w:rsidRPr="00504198">
              <w:rPr>
                <w:rFonts w:cs="Arial"/>
                <w:bCs/>
                <w:i/>
                <w:color w:val="000000"/>
                <w:sz w:val="22"/>
                <w:szCs w:val="22"/>
              </w:rPr>
              <w:t>/</w:t>
            </w:r>
            <w:r>
              <w:rPr>
                <w:rFonts w:cs="Arial"/>
                <w:bCs/>
                <w:i/>
                <w:color w:val="000000"/>
                <w:sz w:val="22"/>
                <w:szCs w:val="22"/>
              </w:rPr>
              <w:t>19</w:t>
            </w:r>
            <w:r w:rsidRPr="00504198">
              <w:rPr>
                <w:rFonts w:cs="Arial"/>
                <w:bCs/>
                <w:i/>
                <w:color w:val="000000"/>
                <w:sz w:val="22"/>
                <w:szCs w:val="22"/>
              </w:rPr>
              <w:t xml:space="preserve"> to 20</w:t>
            </w:r>
            <w:r>
              <w:rPr>
                <w:rFonts w:cs="Arial"/>
                <w:bCs/>
                <w:i/>
                <w:color w:val="000000"/>
                <w:sz w:val="22"/>
                <w:szCs w:val="22"/>
              </w:rPr>
              <w:t>22/</w:t>
            </w:r>
            <w:r w:rsidRPr="00504198">
              <w:rPr>
                <w:rFonts w:cs="Arial"/>
                <w:bCs/>
                <w:i/>
                <w:color w:val="000000"/>
                <w:sz w:val="22"/>
                <w:szCs w:val="22"/>
              </w:rPr>
              <w:t>23</w:t>
            </w:r>
            <w:r>
              <w:rPr>
                <w:rFonts w:cs="Arial"/>
                <w:bCs/>
                <w:i/>
                <w:color w:val="000000"/>
                <w:sz w:val="22"/>
                <w:szCs w:val="22"/>
              </w:rPr>
              <w:t xml:space="preserve"> (D)</w:t>
            </w:r>
          </w:p>
        </w:tc>
        <w:tc>
          <w:tcPr>
            <w:tcW w:w="751" w:type="pct"/>
            <w:tcBorders>
              <w:top w:val="single" w:sz="8" w:space="0" w:color="006666"/>
              <w:left w:val="single" w:sz="8" w:space="0" w:color="006666"/>
              <w:bottom w:val="single" w:sz="8" w:space="0" w:color="006666"/>
              <w:right w:val="single" w:sz="8" w:space="0" w:color="006666"/>
            </w:tcBorders>
            <w:noWrap/>
            <w:vAlign w:val="center"/>
          </w:tcPr>
          <w:p w14:paraId="0581942D" w14:textId="77777777" w:rsidR="00787125" w:rsidRPr="00504198" w:rsidRDefault="00787125" w:rsidP="00FE1557">
            <w:pPr>
              <w:spacing w:beforeLines="20" w:before="48" w:afterLines="20" w:after="48"/>
              <w:jc w:val="center"/>
              <w:rPr>
                <w:rFonts w:cs="Arial"/>
                <w:bCs/>
                <w:i/>
                <w:color w:val="000000"/>
                <w:sz w:val="22"/>
                <w:szCs w:val="22"/>
              </w:rPr>
            </w:pPr>
            <w:r>
              <w:rPr>
                <w:rFonts w:cs="Arial"/>
                <w:bCs/>
                <w:i/>
                <w:color w:val="000000"/>
                <w:sz w:val="22"/>
                <w:szCs w:val="22"/>
              </w:rPr>
              <w:t>0</w:t>
            </w:r>
          </w:p>
        </w:tc>
        <w:tc>
          <w:tcPr>
            <w:tcW w:w="609" w:type="pct"/>
            <w:tcBorders>
              <w:top w:val="single" w:sz="8" w:space="0" w:color="006666"/>
              <w:left w:val="single" w:sz="8" w:space="0" w:color="006666"/>
              <w:bottom w:val="single" w:sz="8" w:space="0" w:color="006666"/>
              <w:right w:val="single" w:sz="18" w:space="0" w:color="006666"/>
            </w:tcBorders>
            <w:noWrap/>
            <w:vAlign w:val="center"/>
          </w:tcPr>
          <w:p w14:paraId="571E3945" w14:textId="77777777" w:rsidR="00787125" w:rsidRPr="00504198" w:rsidRDefault="00787125" w:rsidP="00FE1557">
            <w:pPr>
              <w:spacing w:beforeLines="20" w:before="48" w:afterLines="20" w:after="48"/>
              <w:jc w:val="center"/>
              <w:rPr>
                <w:rFonts w:cs="Arial"/>
                <w:bCs/>
                <w:i/>
                <w:color w:val="000000"/>
                <w:sz w:val="22"/>
                <w:szCs w:val="22"/>
              </w:rPr>
            </w:pPr>
            <w:r>
              <w:rPr>
                <w:rFonts w:cs="Arial"/>
                <w:bCs/>
                <w:i/>
                <w:color w:val="000000"/>
                <w:sz w:val="22"/>
                <w:szCs w:val="22"/>
              </w:rPr>
              <w:t>0</w:t>
            </w:r>
          </w:p>
        </w:tc>
      </w:tr>
      <w:tr w:rsidR="00787125" w:rsidRPr="00BA5A04" w14:paraId="5EA4C31D" w14:textId="77777777" w:rsidTr="00CD5890">
        <w:tc>
          <w:tcPr>
            <w:tcW w:w="3640" w:type="pct"/>
            <w:tcBorders>
              <w:top w:val="single" w:sz="8" w:space="0" w:color="006666"/>
              <w:left w:val="single" w:sz="18" w:space="0" w:color="006666"/>
              <w:bottom w:val="single" w:sz="8" w:space="0" w:color="006666"/>
              <w:right w:val="single" w:sz="8" w:space="0" w:color="006666"/>
            </w:tcBorders>
            <w:vAlign w:val="bottom"/>
          </w:tcPr>
          <w:p w14:paraId="225D9D84" w14:textId="77777777" w:rsidR="00787125" w:rsidRPr="00504198" w:rsidRDefault="00787125" w:rsidP="00FE1557">
            <w:pPr>
              <w:rPr>
                <w:rFonts w:cs="Arial"/>
                <w:bCs/>
                <w:i/>
                <w:color w:val="000000"/>
                <w:sz w:val="22"/>
                <w:szCs w:val="22"/>
              </w:rPr>
            </w:pPr>
            <w:r w:rsidRPr="00504198">
              <w:rPr>
                <w:rFonts w:cs="Arial"/>
                <w:bCs/>
                <w:i/>
                <w:color w:val="000000"/>
                <w:sz w:val="22"/>
                <w:szCs w:val="22"/>
              </w:rPr>
              <w:t xml:space="preserve">Pitches expected to become available through turnover on pitches on </w:t>
            </w:r>
            <w:r>
              <w:rPr>
                <w:rFonts w:cs="Arial"/>
                <w:bCs/>
                <w:i/>
                <w:color w:val="000000"/>
                <w:sz w:val="22"/>
                <w:szCs w:val="22"/>
              </w:rPr>
              <w:t>private</w:t>
            </w:r>
            <w:r w:rsidRPr="00504198">
              <w:rPr>
                <w:rFonts w:cs="Arial"/>
                <w:bCs/>
                <w:i/>
                <w:color w:val="000000"/>
                <w:sz w:val="22"/>
                <w:szCs w:val="22"/>
              </w:rPr>
              <w:t xml:space="preserve"> site 201</w:t>
            </w:r>
            <w:r>
              <w:rPr>
                <w:rFonts w:cs="Arial"/>
                <w:bCs/>
                <w:i/>
                <w:color w:val="000000"/>
                <w:sz w:val="22"/>
                <w:szCs w:val="22"/>
              </w:rPr>
              <w:t>8</w:t>
            </w:r>
            <w:r w:rsidRPr="00504198">
              <w:rPr>
                <w:rFonts w:cs="Arial"/>
                <w:bCs/>
                <w:i/>
                <w:color w:val="000000"/>
                <w:sz w:val="22"/>
                <w:szCs w:val="22"/>
              </w:rPr>
              <w:t>/</w:t>
            </w:r>
            <w:r>
              <w:rPr>
                <w:rFonts w:cs="Arial"/>
                <w:bCs/>
                <w:i/>
                <w:color w:val="000000"/>
                <w:sz w:val="22"/>
                <w:szCs w:val="22"/>
              </w:rPr>
              <w:t>19</w:t>
            </w:r>
            <w:r w:rsidRPr="00504198">
              <w:rPr>
                <w:rFonts w:cs="Arial"/>
                <w:bCs/>
                <w:i/>
                <w:color w:val="000000"/>
                <w:sz w:val="22"/>
                <w:szCs w:val="22"/>
              </w:rPr>
              <w:t xml:space="preserve"> to 20</w:t>
            </w:r>
            <w:r>
              <w:rPr>
                <w:rFonts w:cs="Arial"/>
                <w:bCs/>
                <w:i/>
                <w:color w:val="000000"/>
                <w:sz w:val="22"/>
                <w:szCs w:val="22"/>
              </w:rPr>
              <w:t>22/</w:t>
            </w:r>
            <w:r w:rsidRPr="00504198">
              <w:rPr>
                <w:rFonts w:cs="Arial"/>
                <w:bCs/>
                <w:i/>
                <w:color w:val="000000"/>
                <w:sz w:val="22"/>
                <w:szCs w:val="22"/>
              </w:rPr>
              <w:t>23</w:t>
            </w:r>
            <w:r>
              <w:rPr>
                <w:rFonts w:cs="Arial"/>
                <w:bCs/>
                <w:i/>
                <w:color w:val="000000"/>
                <w:sz w:val="22"/>
                <w:szCs w:val="22"/>
              </w:rPr>
              <w:t xml:space="preserve"> (Paices Hill) (E)</w:t>
            </w:r>
          </w:p>
        </w:tc>
        <w:tc>
          <w:tcPr>
            <w:tcW w:w="751" w:type="pct"/>
            <w:tcBorders>
              <w:top w:val="single" w:sz="8" w:space="0" w:color="006666"/>
              <w:left w:val="single" w:sz="8" w:space="0" w:color="006666"/>
              <w:bottom w:val="single" w:sz="8" w:space="0" w:color="006666"/>
              <w:right w:val="single" w:sz="8" w:space="0" w:color="006666"/>
            </w:tcBorders>
            <w:noWrap/>
            <w:vAlign w:val="center"/>
          </w:tcPr>
          <w:p w14:paraId="7C708A0C" w14:textId="77777777" w:rsidR="00787125" w:rsidRDefault="00787125" w:rsidP="00FE1557">
            <w:pPr>
              <w:spacing w:beforeLines="20" w:before="48" w:afterLines="20" w:after="48"/>
              <w:jc w:val="center"/>
              <w:rPr>
                <w:rFonts w:cs="Arial"/>
                <w:bCs/>
                <w:i/>
                <w:color w:val="000000"/>
                <w:sz w:val="22"/>
                <w:szCs w:val="22"/>
              </w:rPr>
            </w:pPr>
            <w:r>
              <w:rPr>
                <w:rFonts w:cs="Arial"/>
                <w:bCs/>
                <w:i/>
                <w:color w:val="000000"/>
                <w:sz w:val="22"/>
                <w:szCs w:val="22"/>
              </w:rPr>
              <w:t>8</w:t>
            </w:r>
          </w:p>
        </w:tc>
        <w:tc>
          <w:tcPr>
            <w:tcW w:w="609" w:type="pct"/>
            <w:tcBorders>
              <w:top w:val="single" w:sz="8" w:space="0" w:color="006666"/>
              <w:left w:val="single" w:sz="8" w:space="0" w:color="006666"/>
              <w:bottom w:val="single" w:sz="8" w:space="0" w:color="006666"/>
              <w:right w:val="single" w:sz="18" w:space="0" w:color="006666"/>
            </w:tcBorders>
            <w:noWrap/>
            <w:vAlign w:val="center"/>
          </w:tcPr>
          <w:p w14:paraId="046CD7F0" w14:textId="77777777" w:rsidR="00787125" w:rsidRDefault="00787125" w:rsidP="00FE1557">
            <w:pPr>
              <w:spacing w:beforeLines="20" w:before="48" w:afterLines="20" w:after="48"/>
              <w:jc w:val="center"/>
              <w:rPr>
                <w:rFonts w:cs="Arial"/>
                <w:bCs/>
                <w:i/>
                <w:color w:val="000000"/>
                <w:sz w:val="22"/>
                <w:szCs w:val="22"/>
              </w:rPr>
            </w:pPr>
            <w:r>
              <w:rPr>
                <w:rFonts w:cs="Arial"/>
                <w:bCs/>
                <w:i/>
                <w:color w:val="000000"/>
                <w:sz w:val="22"/>
                <w:szCs w:val="22"/>
              </w:rPr>
              <w:t>8</w:t>
            </w:r>
          </w:p>
        </w:tc>
      </w:tr>
      <w:tr w:rsidR="00787125" w:rsidRPr="00BA5A04" w14:paraId="5B3D197C" w14:textId="77777777" w:rsidTr="00CD5890">
        <w:tc>
          <w:tcPr>
            <w:tcW w:w="3640" w:type="pct"/>
            <w:tcBorders>
              <w:top w:val="single" w:sz="8" w:space="0" w:color="006666"/>
              <w:left w:val="single" w:sz="18" w:space="0" w:color="006666"/>
              <w:bottom w:val="single" w:sz="18" w:space="0" w:color="006666"/>
              <w:right w:val="single" w:sz="8" w:space="0" w:color="006666"/>
            </w:tcBorders>
            <w:vAlign w:val="bottom"/>
          </w:tcPr>
          <w:p w14:paraId="51503254" w14:textId="0DCC9061" w:rsidR="00787125" w:rsidRPr="00504198" w:rsidRDefault="00787125" w:rsidP="00FE1557">
            <w:pPr>
              <w:rPr>
                <w:rFonts w:cs="Arial"/>
                <w:b/>
                <w:bCs/>
                <w:color w:val="000000"/>
                <w:sz w:val="22"/>
                <w:szCs w:val="22"/>
              </w:rPr>
            </w:pPr>
            <w:r w:rsidRPr="00504198">
              <w:rPr>
                <w:rFonts w:cs="Arial"/>
                <w:b/>
                <w:bCs/>
                <w:color w:val="000000"/>
                <w:sz w:val="22"/>
                <w:szCs w:val="22"/>
              </w:rPr>
              <w:t>Residual need 20</w:t>
            </w:r>
            <w:r>
              <w:rPr>
                <w:rFonts w:cs="Arial"/>
                <w:b/>
                <w:bCs/>
                <w:color w:val="000000"/>
                <w:sz w:val="22"/>
                <w:szCs w:val="22"/>
              </w:rPr>
              <w:t>18/</w:t>
            </w:r>
            <w:r w:rsidRPr="00504198">
              <w:rPr>
                <w:rFonts w:cs="Arial"/>
                <w:b/>
                <w:bCs/>
                <w:color w:val="000000"/>
                <w:sz w:val="22"/>
                <w:szCs w:val="22"/>
              </w:rPr>
              <w:t>19 to 20</w:t>
            </w:r>
            <w:r>
              <w:rPr>
                <w:rFonts w:cs="Arial"/>
                <w:b/>
                <w:bCs/>
                <w:color w:val="000000"/>
                <w:sz w:val="22"/>
                <w:szCs w:val="22"/>
              </w:rPr>
              <w:t>22/</w:t>
            </w:r>
            <w:r w:rsidRPr="00504198">
              <w:rPr>
                <w:rFonts w:cs="Arial"/>
                <w:b/>
                <w:bCs/>
                <w:color w:val="000000"/>
                <w:sz w:val="22"/>
                <w:szCs w:val="22"/>
              </w:rPr>
              <w:t>23</w:t>
            </w:r>
            <w:r>
              <w:rPr>
                <w:rFonts w:cs="Arial"/>
                <w:b/>
                <w:bCs/>
                <w:color w:val="000000"/>
                <w:sz w:val="22"/>
                <w:szCs w:val="22"/>
              </w:rPr>
              <w:t xml:space="preserve"> (G=A-D-E)</w:t>
            </w:r>
          </w:p>
        </w:tc>
        <w:tc>
          <w:tcPr>
            <w:tcW w:w="751" w:type="pct"/>
            <w:tcBorders>
              <w:top w:val="single" w:sz="8" w:space="0" w:color="006666"/>
              <w:left w:val="single" w:sz="8" w:space="0" w:color="006666"/>
              <w:bottom w:val="single" w:sz="18" w:space="0" w:color="006666"/>
              <w:right w:val="single" w:sz="8" w:space="0" w:color="006666"/>
            </w:tcBorders>
            <w:noWrap/>
            <w:vAlign w:val="center"/>
          </w:tcPr>
          <w:p w14:paraId="0CA7AAB1" w14:textId="02D8B411" w:rsidR="00787125" w:rsidRPr="00504198" w:rsidRDefault="0048335C" w:rsidP="00FE1557">
            <w:pPr>
              <w:spacing w:beforeLines="20" w:before="48" w:afterLines="20" w:after="48"/>
              <w:jc w:val="center"/>
              <w:rPr>
                <w:rFonts w:cs="Arial"/>
                <w:b/>
                <w:bCs/>
                <w:color w:val="000000"/>
                <w:sz w:val="22"/>
                <w:szCs w:val="22"/>
              </w:rPr>
            </w:pPr>
            <w:r>
              <w:rPr>
                <w:rFonts w:cs="Arial"/>
                <w:b/>
                <w:bCs/>
                <w:color w:val="000000"/>
                <w:sz w:val="22"/>
                <w:szCs w:val="22"/>
              </w:rPr>
              <w:t>12</w:t>
            </w:r>
          </w:p>
        </w:tc>
        <w:tc>
          <w:tcPr>
            <w:tcW w:w="609" w:type="pct"/>
            <w:tcBorders>
              <w:top w:val="single" w:sz="8" w:space="0" w:color="006666"/>
              <w:left w:val="single" w:sz="8" w:space="0" w:color="006666"/>
              <w:bottom w:val="single" w:sz="18" w:space="0" w:color="006666"/>
              <w:right w:val="single" w:sz="18" w:space="0" w:color="006666"/>
            </w:tcBorders>
            <w:noWrap/>
            <w:vAlign w:val="center"/>
          </w:tcPr>
          <w:p w14:paraId="174C0A8A" w14:textId="761CF2E0" w:rsidR="00787125" w:rsidRPr="00504198" w:rsidRDefault="0048335C" w:rsidP="00FE1557">
            <w:pPr>
              <w:spacing w:beforeLines="20" w:before="48" w:afterLines="20" w:after="48"/>
              <w:jc w:val="center"/>
              <w:rPr>
                <w:rFonts w:cs="Arial"/>
                <w:b/>
                <w:bCs/>
                <w:color w:val="000000"/>
                <w:sz w:val="22"/>
                <w:szCs w:val="22"/>
              </w:rPr>
            </w:pPr>
            <w:r>
              <w:rPr>
                <w:rFonts w:cs="Arial"/>
                <w:b/>
                <w:bCs/>
                <w:color w:val="000000"/>
                <w:sz w:val="22"/>
                <w:szCs w:val="22"/>
              </w:rPr>
              <w:t>10</w:t>
            </w:r>
          </w:p>
        </w:tc>
      </w:tr>
      <w:tr w:rsidR="00787125" w:rsidRPr="00BA5A04" w14:paraId="1A8DACCE" w14:textId="77777777" w:rsidTr="00CD5890">
        <w:tc>
          <w:tcPr>
            <w:tcW w:w="3640" w:type="pct"/>
            <w:tcBorders>
              <w:top w:val="single" w:sz="18" w:space="0" w:color="006666"/>
              <w:left w:val="single" w:sz="18" w:space="0" w:color="006666"/>
              <w:bottom w:val="single" w:sz="8" w:space="0" w:color="006666"/>
              <w:right w:val="single" w:sz="8" w:space="0" w:color="006666"/>
            </w:tcBorders>
            <w:vAlign w:val="bottom"/>
          </w:tcPr>
          <w:p w14:paraId="5207A394" w14:textId="77777777" w:rsidR="00787125" w:rsidRPr="00787125" w:rsidRDefault="00787125" w:rsidP="00FE1557">
            <w:pPr>
              <w:rPr>
                <w:rFonts w:cs="Arial"/>
                <w:b/>
                <w:bCs/>
                <w:color w:val="000000"/>
                <w:sz w:val="22"/>
                <w:szCs w:val="22"/>
              </w:rPr>
            </w:pPr>
            <w:r w:rsidRPr="00787125">
              <w:rPr>
                <w:rFonts w:cs="Arial"/>
                <w:b/>
                <w:bCs/>
                <w:color w:val="000000"/>
                <w:sz w:val="22"/>
                <w:szCs w:val="22"/>
              </w:rPr>
              <w:t xml:space="preserve">TOTAL pitch need for remainder of the plan period 2023/24 to  2035/36 </w:t>
            </w:r>
            <w:r>
              <w:rPr>
                <w:rFonts w:cs="Arial"/>
                <w:b/>
                <w:bCs/>
                <w:color w:val="000000"/>
                <w:sz w:val="22"/>
                <w:szCs w:val="22"/>
              </w:rPr>
              <w:t xml:space="preserve"> (B)</w:t>
            </w:r>
          </w:p>
        </w:tc>
        <w:tc>
          <w:tcPr>
            <w:tcW w:w="751" w:type="pct"/>
            <w:tcBorders>
              <w:top w:val="single" w:sz="18" w:space="0" w:color="006666"/>
              <w:left w:val="single" w:sz="8" w:space="0" w:color="006666"/>
              <w:bottom w:val="single" w:sz="8" w:space="0" w:color="006666"/>
              <w:right w:val="single" w:sz="8" w:space="0" w:color="006666"/>
            </w:tcBorders>
            <w:noWrap/>
            <w:vAlign w:val="center"/>
          </w:tcPr>
          <w:p w14:paraId="0A1B566F" w14:textId="77777777" w:rsidR="00787125" w:rsidRPr="00787125" w:rsidRDefault="00787125" w:rsidP="00FE1557">
            <w:pPr>
              <w:spacing w:beforeLines="20" w:before="48" w:afterLines="20" w:after="48"/>
              <w:jc w:val="center"/>
              <w:rPr>
                <w:rFonts w:cs="Arial"/>
                <w:b/>
                <w:bCs/>
                <w:color w:val="000000"/>
                <w:sz w:val="22"/>
                <w:szCs w:val="22"/>
              </w:rPr>
            </w:pPr>
            <w:r w:rsidRPr="00787125">
              <w:rPr>
                <w:rFonts w:cs="Arial"/>
                <w:b/>
                <w:bCs/>
                <w:color w:val="000000"/>
                <w:sz w:val="22"/>
                <w:szCs w:val="22"/>
              </w:rPr>
              <w:t>31</w:t>
            </w:r>
          </w:p>
        </w:tc>
        <w:tc>
          <w:tcPr>
            <w:tcW w:w="609" w:type="pct"/>
            <w:tcBorders>
              <w:top w:val="single" w:sz="18" w:space="0" w:color="006666"/>
              <w:left w:val="single" w:sz="8" w:space="0" w:color="006666"/>
              <w:bottom w:val="single" w:sz="8" w:space="0" w:color="006666"/>
              <w:right w:val="single" w:sz="18" w:space="0" w:color="006666"/>
            </w:tcBorders>
            <w:noWrap/>
            <w:vAlign w:val="center"/>
          </w:tcPr>
          <w:p w14:paraId="55CFA8DB" w14:textId="77777777" w:rsidR="00787125" w:rsidRPr="00787125" w:rsidRDefault="00787125" w:rsidP="00FE1557">
            <w:pPr>
              <w:spacing w:beforeLines="20" w:before="48" w:afterLines="20" w:after="48"/>
              <w:jc w:val="center"/>
              <w:rPr>
                <w:rFonts w:cs="Arial"/>
                <w:b/>
                <w:bCs/>
                <w:color w:val="000000"/>
                <w:sz w:val="22"/>
                <w:szCs w:val="22"/>
              </w:rPr>
            </w:pPr>
            <w:r w:rsidRPr="00787125">
              <w:rPr>
                <w:rFonts w:cs="Arial"/>
                <w:b/>
                <w:bCs/>
                <w:color w:val="000000"/>
                <w:sz w:val="22"/>
                <w:szCs w:val="22"/>
              </w:rPr>
              <w:t>30</w:t>
            </w:r>
          </w:p>
        </w:tc>
      </w:tr>
      <w:tr w:rsidR="00787125" w:rsidRPr="00BA5A04" w14:paraId="39A7C680" w14:textId="77777777" w:rsidTr="00CD5890">
        <w:tc>
          <w:tcPr>
            <w:tcW w:w="3640" w:type="pct"/>
            <w:tcBorders>
              <w:top w:val="single" w:sz="8" w:space="0" w:color="006666"/>
              <w:left w:val="single" w:sz="18" w:space="0" w:color="006666"/>
              <w:bottom w:val="single" w:sz="8" w:space="0" w:color="006666"/>
              <w:right w:val="single" w:sz="8" w:space="0" w:color="006666"/>
            </w:tcBorders>
            <w:vAlign w:val="bottom"/>
          </w:tcPr>
          <w:p w14:paraId="482B2D1B" w14:textId="77777777" w:rsidR="00787125" w:rsidRPr="00504198" w:rsidRDefault="00787125" w:rsidP="00FE1557">
            <w:pPr>
              <w:rPr>
                <w:rFonts w:cs="Arial"/>
                <w:bCs/>
                <w:i/>
                <w:color w:val="000000"/>
                <w:sz w:val="22"/>
                <w:szCs w:val="22"/>
              </w:rPr>
            </w:pPr>
            <w:r w:rsidRPr="00504198">
              <w:rPr>
                <w:rFonts w:cs="Arial"/>
                <w:bCs/>
                <w:i/>
                <w:color w:val="000000"/>
                <w:sz w:val="22"/>
                <w:szCs w:val="22"/>
              </w:rPr>
              <w:t>Pitches expected to become available through turnover on pitches on Council site 202</w:t>
            </w:r>
            <w:r>
              <w:rPr>
                <w:rFonts w:cs="Arial"/>
                <w:bCs/>
                <w:i/>
                <w:color w:val="000000"/>
                <w:sz w:val="22"/>
                <w:szCs w:val="22"/>
              </w:rPr>
              <w:t>3</w:t>
            </w:r>
            <w:r w:rsidRPr="00504198">
              <w:rPr>
                <w:rFonts w:cs="Arial"/>
                <w:bCs/>
                <w:i/>
                <w:color w:val="000000"/>
                <w:sz w:val="22"/>
                <w:szCs w:val="22"/>
              </w:rPr>
              <w:t>/2</w:t>
            </w:r>
            <w:r>
              <w:rPr>
                <w:rFonts w:cs="Arial"/>
                <w:bCs/>
                <w:i/>
                <w:color w:val="000000"/>
                <w:sz w:val="22"/>
                <w:szCs w:val="22"/>
              </w:rPr>
              <w:t>4</w:t>
            </w:r>
            <w:r w:rsidRPr="00504198">
              <w:rPr>
                <w:rFonts w:cs="Arial"/>
                <w:bCs/>
                <w:i/>
                <w:color w:val="000000"/>
                <w:sz w:val="22"/>
                <w:szCs w:val="22"/>
              </w:rPr>
              <w:t xml:space="preserve"> to 2035/36</w:t>
            </w:r>
            <w:r>
              <w:rPr>
                <w:rFonts w:cs="Arial"/>
                <w:bCs/>
                <w:i/>
                <w:color w:val="000000"/>
                <w:sz w:val="22"/>
                <w:szCs w:val="22"/>
              </w:rPr>
              <w:t xml:space="preserve"> (H)</w:t>
            </w:r>
          </w:p>
        </w:tc>
        <w:tc>
          <w:tcPr>
            <w:tcW w:w="751" w:type="pct"/>
            <w:tcBorders>
              <w:top w:val="single" w:sz="8" w:space="0" w:color="006666"/>
              <w:left w:val="single" w:sz="8" w:space="0" w:color="006666"/>
              <w:bottom w:val="single" w:sz="8" w:space="0" w:color="006666"/>
              <w:right w:val="single" w:sz="8" w:space="0" w:color="006666"/>
            </w:tcBorders>
            <w:noWrap/>
            <w:vAlign w:val="center"/>
          </w:tcPr>
          <w:p w14:paraId="3B6E4F95" w14:textId="77777777" w:rsidR="00787125" w:rsidRPr="00504198" w:rsidRDefault="00787125" w:rsidP="00FE1557">
            <w:pPr>
              <w:spacing w:beforeLines="20" w:before="48" w:afterLines="20" w:after="48"/>
              <w:jc w:val="center"/>
              <w:rPr>
                <w:rFonts w:cs="Arial"/>
                <w:bCs/>
                <w:i/>
                <w:color w:val="000000"/>
                <w:sz w:val="22"/>
                <w:szCs w:val="22"/>
              </w:rPr>
            </w:pPr>
            <w:r>
              <w:rPr>
                <w:rFonts w:cs="Arial"/>
                <w:bCs/>
                <w:i/>
                <w:color w:val="000000"/>
                <w:sz w:val="22"/>
                <w:szCs w:val="22"/>
              </w:rPr>
              <w:t>0</w:t>
            </w:r>
          </w:p>
        </w:tc>
        <w:tc>
          <w:tcPr>
            <w:tcW w:w="609" w:type="pct"/>
            <w:tcBorders>
              <w:top w:val="single" w:sz="8" w:space="0" w:color="006666"/>
              <w:left w:val="single" w:sz="8" w:space="0" w:color="006666"/>
              <w:bottom w:val="single" w:sz="8" w:space="0" w:color="006666"/>
              <w:right w:val="single" w:sz="18" w:space="0" w:color="006666"/>
            </w:tcBorders>
            <w:noWrap/>
            <w:vAlign w:val="center"/>
          </w:tcPr>
          <w:p w14:paraId="11EFDAC1" w14:textId="77777777" w:rsidR="00787125" w:rsidRPr="00504198" w:rsidRDefault="00787125" w:rsidP="00FE1557">
            <w:pPr>
              <w:spacing w:beforeLines="20" w:before="48" w:afterLines="20" w:after="48"/>
              <w:jc w:val="center"/>
              <w:rPr>
                <w:rFonts w:cs="Arial"/>
                <w:bCs/>
                <w:i/>
                <w:color w:val="000000"/>
                <w:sz w:val="22"/>
                <w:szCs w:val="22"/>
              </w:rPr>
            </w:pPr>
            <w:r>
              <w:rPr>
                <w:rFonts w:cs="Arial"/>
                <w:bCs/>
                <w:i/>
                <w:color w:val="000000"/>
                <w:sz w:val="22"/>
                <w:szCs w:val="22"/>
              </w:rPr>
              <w:t>0</w:t>
            </w:r>
          </w:p>
        </w:tc>
      </w:tr>
      <w:tr w:rsidR="00787125" w:rsidRPr="00BA5A04" w14:paraId="0910893D" w14:textId="77777777" w:rsidTr="00CD5890">
        <w:tc>
          <w:tcPr>
            <w:tcW w:w="3640" w:type="pct"/>
            <w:tcBorders>
              <w:top w:val="single" w:sz="8" w:space="0" w:color="006666"/>
              <w:left w:val="single" w:sz="18" w:space="0" w:color="006666"/>
              <w:bottom w:val="single" w:sz="8" w:space="0" w:color="006666"/>
              <w:right w:val="single" w:sz="8" w:space="0" w:color="006666"/>
            </w:tcBorders>
            <w:vAlign w:val="bottom"/>
          </w:tcPr>
          <w:p w14:paraId="7476F2AA" w14:textId="77777777" w:rsidR="00787125" w:rsidRPr="00504198" w:rsidRDefault="00787125" w:rsidP="00FE1557">
            <w:pPr>
              <w:rPr>
                <w:rFonts w:cs="Arial"/>
                <w:bCs/>
                <w:i/>
                <w:color w:val="000000"/>
                <w:sz w:val="22"/>
                <w:szCs w:val="22"/>
              </w:rPr>
            </w:pPr>
            <w:r w:rsidRPr="00504198">
              <w:rPr>
                <w:rFonts w:cs="Arial"/>
                <w:bCs/>
                <w:i/>
                <w:color w:val="000000"/>
                <w:sz w:val="22"/>
                <w:szCs w:val="22"/>
              </w:rPr>
              <w:t xml:space="preserve">Pitches expected to become available through turnover on pitches on </w:t>
            </w:r>
            <w:r>
              <w:rPr>
                <w:rFonts w:cs="Arial"/>
                <w:bCs/>
                <w:i/>
                <w:color w:val="000000"/>
                <w:sz w:val="22"/>
                <w:szCs w:val="22"/>
              </w:rPr>
              <w:t>private</w:t>
            </w:r>
            <w:r w:rsidRPr="00504198">
              <w:rPr>
                <w:rFonts w:cs="Arial"/>
                <w:bCs/>
                <w:i/>
                <w:color w:val="000000"/>
                <w:sz w:val="22"/>
                <w:szCs w:val="22"/>
              </w:rPr>
              <w:t xml:space="preserve"> site 20</w:t>
            </w:r>
            <w:r>
              <w:rPr>
                <w:rFonts w:cs="Arial"/>
                <w:bCs/>
                <w:i/>
                <w:color w:val="000000"/>
                <w:sz w:val="22"/>
                <w:szCs w:val="22"/>
              </w:rPr>
              <w:t>23</w:t>
            </w:r>
            <w:r w:rsidRPr="00504198">
              <w:rPr>
                <w:rFonts w:cs="Arial"/>
                <w:bCs/>
                <w:i/>
                <w:color w:val="000000"/>
                <w:sz w:val="22"/>
                <w:szCs w:val="22"/>
              </w:rPr>
              <w:t>/</w:t>
            </w:r>
            <w:r>
              <w:rPr>
                <w:rFonts w:cs="Arial"/>
                <w:bCs/>
                <w:i/>
                <w:color w:val="000000"/>
                <w:sz w:val="22"/>
                <w:szCs w:val="22"/>
              </w:rPr>
              <w:t>24</w:t>
            </w:r>
            <w:r w:rsidRPr="00504198">
              <w:rPr>
                <w:rFonts w:cs="Arial"/>
                <w:bCs/>
                <w:i/>
                <w:color w:val="000000"/>
                <w:sz w:val="22"/>
                <w:szCs w:val="22"/>
              </w:rPr>
              <w:t xml:space="preserve"> to 20</w:t>
            </w:r>
            <w:r>
              <w:rPr>
                <w:rFonts w:cs="Arial"/>
                <w:bCs/>
                <w:i/>
                <w:color w:val="000000"/>
                <w:sz w:val="22"/>
                <w:szCs w:val="22"/>
              </w:rPr>
              <w:t>35</w:t>
            </w:r>
            <w:r w:rsidRPr="00504198">
              <w:rPr>
                <w:rFonts w:cs="Arial"/>
                <w:bCs/>
                <w:i/>
                <w:color w:val="000000"/>
                <w:sz w:val="22"/>
                <w:szCs w:val="22"/>
              </w:rPr>
              <w:t>/</w:t>
            </w:r>
            <w:r>
              <w:rPr>
                <w:rFonts w:cs="Arial"/>
                <w:bCs/>
                <w:i/>
                <w:color w:val="000000"/>
                <w:sz w:val="22"/>
                <w:szCs w:val="22"/>
              </w:rPr>
              <w:t>36 (Paices Hill) (I)</w:t>
            </w:r>
          </w:p>
        </w:tc>
        <w:tc>
          <w:tcPr>
            <w:tcW w:w="751" w:type="pct"/>
            <w:tcBorders>
              <w:top w:val="single" w:sz="8" w:space="0" w:color="006666"/>
              <w:left w:val="single" w:sz="8" w:space="0" w:color="006666"/>
              <w:bottom w:val="single" w:sz="8" w:space="0" w:color="006666"/>
              <w:right w:val="single" w:sz="8" w:space="0" w:color="006666"/>
            </w:tcBorders>
            <w:noWrap/>
            <w:vAlign w:val="center"/>
          </w:tcPr>
          <w:p w14:paraId="12485F9E" w14:textId="77777777" w:rsidR="00787125" w:rsidRDefault="00787125" w:rsidP="00FE1557">
            <w:pPr>
              <w:spacing w:beforeLines="20" w:before="48" w:afterLines="20" w:after="48"/>
              <w:jc w:val="center"/>
              <w:rPr>
                <w:rFonts w:cs="Arial"/>
                <w:bCs/>
                <w:i/>
                <w:color w:val="000000"/>
                <w:sz w:val="22"/>
                <w:szCs w:val="22"/>
              </w:rPr>
            </w:pPr>
            <w:r>
              <w:rPr>
                <w:rFonts w:cs="Arial"/>
                <w:bCs/>
                <w:i/>
                <w:color w:val="000000"/>
                <w:sz w:val="22"/>
                <w:szCs w:val="22"/>
              </w:rPr>
              <w:t>21</w:t>
            </w:r>
          </w:p>
        </w:tc>
        <w:tc>
          <w:tcPr>
            <w:tcW w:w="609" w:type="pct"/>
            <w:tcBorders>
              <w:top w:val="single" w:sz="8" w:space="0" w:color="006666"/>
              <w:left w:val="single" w:sz="8" w:space="0" w:color="006666"/>
              <w:bottom w:val="single" w:sz="8" w:space="0" w:color="006666"/>
              <w:right w:val="single" w:sz="18" w:space="0" w:color="006666"/>
            </w:tcBorders>
            <w:noWrap/>
            <w:vAlign w:val="center"/>
          </w:tcPr>
          <w:p w14:paraId="7D88ED9D" w14:textId="77777777" w:rsidR="00787125" w:rsidRDefault="00787125" w:rsidP="00FE1557">
            <w:pPr>
              <w:spacing w:beforeLines="20" w:before="48" w:afterLines="20" w:after="48"/>
              <w:jc w:val="center"/>
              <w:rPr>
                <w:rFonts w:cs="Arial"/>
                <w:bCs/>
                <w:i/>
                <w:color w:val="000000"/>
                <w:sz w:val="22"/>
                <w:szCs w:val="22"/>
              </w:rPr>
            </w:pPr>
            <w:r>
              <w:rPr>
                <w:rFonts w:cs="Arial"/>
                <w:bCs/>
                <w:i/>
                <w:color w:val="000000"/>
                <w:sz w:val="22"/>
                <w:szCs w:val="22"/>
              </w:rPr>
              <w:t>21</w:t>
            </w:r>
          </w:p>
        </w:tc>
      </w:tr>
      <w:tr w:rsidR="00787125" w:rsidRPr="00BA5A04" w14:paraId="229D6538" w14:textId="77777777" w:rsidTr="00CD5890">
        <w:tc>
          <w:tcPr>
            <w:tcW w:w="3640" w:type="pct"/>
            <w:tcBorders>
              <w:top w:val="single" w:sz="8" w:space="0" w:color="006666"/>
              <w:left w:val="single" w:sz="18" w:space="0" w:color="006666"/>
              <w:bottom w:val="single" w:sz="18" w:space="0" w:color="006666"/>
              <w:right w:val="single" w:sz="8" w:space="0" w:color="006666"/>
            </w:tcBorders>
            <w:vAlign w:val="bottom"/>
          </w:tcPr>
          <w:p w14:paraId="5A6D9D89" w14:textId="77777777" w:rsidR="00787125" w:rsidRPr="00504198" w:rsidRDefault="00787125" w:rsidP="00FE1557">
            <w:pPr>
              <w:rPr>
                <w:rFonts w:cs="Arial"/>
                <w:b/>
                <w:bCs/>
                <w:color w:val="000000"/>
                <w:sz w:val="22"/>
                <w:szCs w:val="22"/>
              </w:rPr>
            </w:pPr>
            <w:r>
              <w:rPr>
                <w:rFonts w:cs="Arial"/>
                <w:b/>
                <w:bCs/>
                <w:color w:val="000000"/>
                <w:sz w:val="22"/>
                <w:szCs w:val="22"/>
              </w:rPr>
              <w:t>Residual need 2023/24 to 2035/36 (J=B-H-I)</w:t>
            </w:r>
          </w:p>
        </w:tc>
        <w:tc>
          <w:tcPr>
            <w:tcW w:w="751" w:type="pct"/>
            <w:tcBorders>
              <w:top w:val="single" w:sz="8" w:space="0" w:color="006666"/>
              <w:left w:val="single" w:sz="8" w:space="0" w:color="006666"/>
              <w:bottom w:val="single" w:sz="18" w:space="0" w:color="006666"/>
              <w:right w:val="single" w:sz="8" w:space="0" w:color="006666"/>
            </w:tcBorders>
            <w:noWrap/>
            <w:vAlign w:val="center"/>
          </w:tcPr>
          <w:p w14:paraId="3A416956" w14:textId="77777777" w:rsidR="00787125" w:rsidRPr="00C11B21" w:rsidRDefault="00787125" w:rsidP="00FE1557">
            <w:pPr>
              <w:spacing w:beforeLines="20" w:before="48" w:afterLines="20" w:after="48"/>
              <w:jc w:val="center"/>
              <w:rPr>
                <w:rFonts w:cs="Arial"/>
                <w:bCs/>
                <w:i/>
                <w:color w:val="000000"/>
                <w:sz w:val="22"/>
                <w:szCs w:val="22"/>
              </w:rPr>
            </w:pPr>
            <w:r>
              <w:rPr>
                <w:rFonts w:cs="Arial"/>
                <w:bCs/>
                <w:i/>
                <w:color w:val="000000"/>
                <w:sz w:val="22"/>
                <w:szCs w:val="22"/>
              </w:rPr>
              <w:t>10</w:t>
            </w:r>
          </w:p>
        </w:tc>
        <w:tc>
          <w:tcPr>
            <w:tcW w:w="609" w:type="pct"/>
            <w:tcBorders>
              <w:top w:val="single" w:sz="8" w:space="0" w:color="006666"/>
              <w:left w:val="single" w:sz="8" w:space="0" w:color="006666"/>
              <w:bottom w:val="single" w:sz="18" w:space="0" w:color="006666"/>
              <w:right w:val="single" w:sz="18" w:space="0" w:color="006666"/>
            </w:tcBorders>
            <w:noWrap/>
            <w:vAlign w:val="center"/>
          </w:tcPr>
          <w:p w14:paraId="7A72D68A" w14:textId="77777777" w:rsidR="00787125" w:rsidRPr="00C11B21" w:rsidRDefault="00787125" w:rsidP="00FE1557">
            <w:pPr>
              <w:spacing w:beforeLines="20" w:before="48" w:afterLines="20" w:after="48"/>
              <w:jc w:val="center"/>
              <w:rPr>
                <w:rFonts w:cs="Arial"/>
                <w:bCs/>
                <w:i/>
                <w:color w:val="000000"/>
                <w:sz w:val="22"/>
                <w:szCs w:val="22"/>
              </w:rPr>
            </w:pPr>
            <w:r>
              <w:rPr>
                <w:rFonts w:cs="Arial"/>
                <w:bCs/>
                <w:i/>
                <w:color w:val="000000"/>
                <w:sz w:val="22"/>
                <w:szCs w:val="22"/>
              </w:rPr>
              <w:t>9</w:t>
            </w:r>
          </w:p>
        </w:tc>
      </w:tr>
      <w:tr w:rsidR="00787125" w:rsidRPr="00BA5A04" w14:paraId="09806EDC" w14:textId="77777777" w:rsidTr="00CD5890">
        <w:tc>
          <w:tcPr>
            <w:tcW w:w="3640" w:type="pct"/>
            <w:tcBorders>
              <w:top w:val="single" w:sz="18" w:space="0" w:color="006666"/>
              <w:left w:val="single" w:sz="18" w:space="0" w:color="006666"/>
              <w:bottom w:val="single" w:sz="8" w:space="0" w:color="006666"/>
              <w:right w:val="single" w:sz="8" w:space="0" w:color="006666"/>
            </w:tcBorders>
            <w:vAlign w:val="bottom"/>
          </w:tcPr>
          <w:p w14:paraId="0B40DD34" w14:textId="77777777" w:rsidR="00787125" w:rsidRPr="00787125" w:rsidRDefault="00787125" w:rsidP="00FE1557">
            <w:pPr>
              <w:rPr>
                <w:rFonts w:cs="Arial"/>
                <w:b/>
                <w:bCs/>
                <w:color w:val="000000"/>
                <w:sz w:val="22"/>
                <w:szCs w:val="22"/>
              </w:rPr>
            </w:pPr>
            <w:r w:rsidRPr="00787125">
              <w:rPr>
                <w:rFonts w:cs="Arial"/>
                <w:b/>
                <w:bCs/>
                <w:color w:val="000000"/>
                <w:sz w:val="22"/>
                <w:szCs w:val="22"/>
              </w:rPr>
              <w:t xml:space="preserve">TOTAL pitch need for the plan period 2018/19 to  2035/36 </w:t>
            </w:r>
            <w:r>
              <w:rPr>
                <w:rFonts w:cs="Arial"/>
                <w:b/>
                <w:bCs/>
                <w:color w:val="000000"/>
                <w:sz w:val="22"/>
                <w:szCs w:val="22"/>
              </w:rPr>
              <w:t xml:space="preserve"> (C)</w:t>
            </w:r>
          </w:p>
        </w:tc>
        <w:tc>
          <w:tcPr>
            <w:tcW w:w="751" w:type="pct"/>
            <w:tcBorders>
              <w:top w:val="single" w:sz="18" w:space="0" w:color="006666"/>
              <w:left w:val="single" w:sz="8" w:space="0" w:color="006666"/>
              <w:bottom w:val="single" w:sz="8" w:space="0" w:color="006666"/>
              <w:right w:val="single" w:sz="8" w:space="0" w:color="006666"/>
            </w:tcBorders>
            <w:noWrap/>
            <w:vAlign w:val="center"/>
          </w:tcPr>
          <w:p w14:paraId="5272CEC9" w14:textId="77777777" w:rsidR="00787125" w:rsidRPr="00787125" w:rsidRDefault="00787125" w:rsidP="00FE1557">
            <w:pPr>
              <w:spacing w:beforeLines="20" w:before="48" w:afterLines="20" w:after="48"/>
              <w:jc w:val="center"/>
              <w:rPr>
                <w:rFonts w:cs="Arial"/>
                <w:b/>
                <w:bCs/>
                <w:color w:val="000000"/>
                <w:sz w:val="22"/>
                <w:szCs w:val="22"/>
              </w:rPr>
            </w:pPr>
            <w:r w:rsidRPr="00787125">
              <w:rPr>
                <w:rFonts w:cs="Arial"/>
                <w:b/>
                <w:bCs/>
                <w:color w:val="000000"/>
                <w:sz w:val="22"/>
                <w:szCs w:val="22"/>
              </w:rPr>
              <w:t>51</w:t>
            </w:r>
          </w:p>
        </w:tc>
        <w:tc>
          <w:tcPr>
            <w:tcW w:w="609" w:type="pct"/>
            <w:tcBorders>
              <w:top w:val="single" w:sz="18" w:space="0" w:color="006666"/>
              <w:left w:val="single" w:sz="8" w:space="0" w:color="006666"/>
              <w:bottom w:val="single" w:sz="8" w:space="0" w:color="006666"/>
              <w:right w:val="single" w:sz="18" w:space="0" w:color="006666"/>
            </w:tcBorders>
            <w:noWrap/>
            <w:vAlign w:val="center"/>
          </w:tcPr>
          <w:p w14:paraId="1973C605" w14:textId="77777777" w:rsidR="00787125" w:rsidRPr="00787125" w:rsidRDefault="00787125" w:rsidP="00FE1557">
            <w:pPr>
              <w:spacing w:beforeLines="20" w:before="48" w:afterLines="20" w:after="48"/>
              <w:jc w:val="center"/>
              <w:rPr>
                <w:rFonts w:cs="Arial"/>
                <w:b/>
                <w:bCs/>
                <w:color w:val="000000"/>
                <w:sz w:val="22"/>
                <w:szCs w:val="22"/>
              </w:rPr>
            </w:pPr>
            <w:r w:rsidRPr="00787125">
              <w:rPr>
                <w:rFonts w:cs="Arial"/>
                <w:b/>
                <w:bCs/>
                <w:color w:val="000000"/>
                <w:sz w:val="22"/>
                <w:szCs w:val="22"/>
              </w:rPr>
              <w:t>48</w:t>
            </w:r>
          </w:p>
        </w:tc>
      </w:tr>
      <w:tr w:rsidR="00787125" w:rsidRPr="00BA5A04" w14:paraId="0FE12FB8" w14:textId="77777777" w:rsidTr="00CD5890">
        <w:tc>
          <w:tcPr>
            <w:tcW w:w="3640" w:type="pct"/>
            <w:tcBorders>
              <w:top w:val="single" w:sz="8" w:space="0" w:color="006666"/>
              <w:left w:val="single" w:sz="18" w:space="0" w:color="006666"/>
              <w:bottom w:val="single" w:sz="8" w:space="0" w:color="006666"/>
              <w:right w:val="single" w:sz="8" w:space="0" w:color="006666"/>
            </w:tcBorders>
            <w:vAlign w:val="bottom"/>
          </w:tcPr>
          <w:p w14:paraId="1F299483" w14:textId="77777777" w:rsidR="00787125" w:rsidRPr="00C11B21" w:rsidRDefault="00787125" w:rsidP="00FE1557">
            <w:pPr>
              <w:rPr>
                <w:rFonts w:cs="Arial"/>
                <w:bCs/>
                <w:i/>
                <w:color w:val="000000"/>
                <w:sz w:val="22"/>
                <w:szCs w:val="22"/>
              </w:rPr>
            </w:pPr>
            <w:r w:rsidRPr="00504198">
              <w:rPr>
                <w:rFonts w:cs="Arial"/>
                <w:bCs/>
                <w:i/>
                <w:color w:val="000000"/>
                <w:sz w:val="22"/>
                <w:szCs w:val="22"/>
              </w:rPr>
              <w:t>Pitches expected to become available through turnover on pitches on Council site 20</w:t>
            </w:r>
            <w:r>
              <w:rPr>
                <w:rFonts w:cs="Arial"/>
                <w:bCs/>
                <w:i/>
                <w:color w:val="000000"/>
                <w:sz w:val="22"/>
                <w:szCs w:val="22"/>
              </w:rPr>
              <w:t>19</w:t>
            </w:r>
            <w:r w:rsidRPr="00504198">
              <w:rPr>
                <w:rFonts w:cs="Arial"/>
                <w:bCs/>
                <w:i/>
                <w:color w:val="000000"/>
                <w:sz w:val="22"/>
                <w:szCs w:val="22"/>
              </w:rPr>
              <w:t>/</w:t>
            </w:r>
            <w:r>
              <w:rPr>
                <w:rFonts w:cs="Arial"/>
                <w:bCs/>
                <w:i/>
                <w:color w:val="000000"/>
                <w:sz w:val="22"/>
                <w:szCs w:val="22"/>
              </w:rPr>
              <w:t>20</w:t>
            </w:r>
            <w:r w:rsidRPr="00504198">
              <w:rPr>
                <w:rFonts w:cs="Arial"/>
                <w:bCs/>
                <w:i/>
                <w:color w:val="000000"/>
                <w:sz w:val="22"/>
                <w:szCs w:val="22"/>
              </w:rPr>
              <w:t xml:space="preserve"> to 2035/36</w:t>
            </w:r>
            <w:r>
              <w:rPr>
                <w:rFonts w:cs="Arial"/>
                <w:bCs/>
                <w:i/>
                <w:color w:val="000000"/>
                <w:sz w:val="22"/>
                <w:szCs w:val="22"/>
              </w:rPr>
              <w:t xml:space="preserve"> (K=D+H)</w:t>
            </w:r>
          </w:p>
        </w:tc>
        <w:tc>
          <w:tcPr>
            <w:tcW w:w="751" w:type="pct"/>
            <w:tcBorders>
              <w:top w:val="single" w:sz="8" w:space="0" w:color="006666"/>
              <w:left w:val="single" w:sz="8" w:space="0" w:color="006666"/>
              <w:bottom w:val="single" w:sz="8" w:space="0" w:color="006666"/>
              <w:right w:val="single" w:sz="8" w:space="0" w:color="006666"/>
            </w:tcBorders>
            <w:noWrap/>
            <w:vAlign w:val="center"/>
          </w:tcPr>
          <w:p w14:paraId="19332DF9" w14:textId="77777777" w:rsidR="00787125" w:rsidRPr="00C11B21" w:rsidRDefault="00787125" w:rsidP="00FE1557">
            <w:pPr>
              <w:spacing w:beforeLines="20" w:before="48" w:afterLines="20" w:after="48"/>
              <w:jc w:val="center"/>
              <w:rPr>
                <w:rFonts w:cs="Arial"/>
                <w:bCs/>
                <w:i/>
                <w:color w:val="000000"/>
                <w:sz w:val="22"/>
                <w:szCs w:val="22"/>
              </w:rPr>
            </w:pPr>
            <w:r>
              <w:rPr>
                <w:rFonts w:cs="Arial"/>
                <w:bCs/>
                <w:i/>
                <w:color w:val="000000"/>
                <w:sz w:val="22"/>
                <w:szCs w:val="22"/>
              </w:rPr>
              <w:t>0</w:t>
            </w:r>
          </w:p>
        </w:tc>
        <w:tc>
          <w:tcPr>
            <w:tcW w:w="609" w:type="pct"/>
            <w:tcBorders>
              <w:top w:val="single" w:sz="8" w:space="0" w:color="006666"/>
              <w:left w:val="single" w:sz="8" w:space="0" w:color="006666"/>
              <w:bottom w:val="single" w:sz="8" w:space="0" w:color="006666"/>
              <w:right w:val="single" w:sz="18" w:space="0" w:color="006666"/>
            </w:tcBorders>
            <w:noWrap/>
            <w:vAlign w:val="center"/>
          </w:tcPr>
          <w:p w14:paraId="5B776EC4" w14:textId="77777777" w:rsidR="00787125" w:rsidRPr="00C11B21" w:rsidRDefault="00787125" w:rsidP="00FE1557">
            <w:pPr>
              <w:spacing w:beforeLines="20" w:before="48" w:afterLines="20" w:after="48"/>
              <w:jc w:val="center"/>
              <w:rPr>
                <w:rFonts w:cs="Arial"/>
                <w:bCs/>
                <w:i/>
                <w:color w:val="000000"/>
                <w:sz w:val="22"/>
                <w:szCs w:val="22"/>
              </w:rPr>
            </w:pPr>
            <w:r>
              <w:rPr>
                <w:rFonts w:cs="Arial"/>
                <w:bCs/>
                <w:i/>
                <w:color w:val="000000"/>
                <w:sz w:val="22"/>
                <w:szCs w:val="22"/>
              </w:rPr>
              <w:t>0</w:t>
            </w:r>
          </w:p>
        </w:tc>
      </w:tr>
      <w:tr w:rsidR="00787125" w:rsidRPr="00BA5A04" w14:paraId="5BA0B5FF" w14:textId="77777777" w:rsidTr="00CD5890">
        <w:tc>
          <w:tcPr>
            <w:tcW w:w="3640" w:type="pct"/>
            <w:tcBorders>
              <w:top w:val="single" w:sz="8" w:space="0" w:color="006666"/>
              <w:left w:val="single" w:sz="18" w:space="0" w:color="006666"/>
              <w:bottom w:val="single" w:sz="8" w:space="0" w:color="006666"/>
              <w:right w:val="single" w:sz="8" w:space="0" w:color="006666"/>
            </w:tcBorders>
            <w:vAlign w:val="bottom"/>
          </w:tcPr>
          <w:p w14:paraId="4CF06981" w14:textId="77777777" w:rsidR="00787125" w:rsidRPr="00504198" w:rsidRDefault="00787125" w:rsidP="00FE1557">
            <w:pPr>
              <w:rPr>
                <w:rFonts w:cs="Arial"/>
                <w:bCs/>
                <w:i/>
                <w:color w:val="000000"/>
                <w:sz w:val="22"/>
                <w:szCs w:val="22"/>
              </w:rPr>
            </w:pPr>
            <w:r w:rsidRPr="00504198">
              <w:rPr>
                <w:rFonts w:cs="Arial"/>
                <w:bCs/>
                <w:i/>
                <w:color w:val="000000"/>
                <w:sz w:val="22"/>
                <w:szCs w:val="22"/>
              </w:rPr>
              <w:t xml:space="preserve">Pitches expected to become available through turnover on pitches on </w:t>
            </w:r>
            <w:r>
              <w:rPr>
                <w:rFonts w:cs="Arial"/>
                <w:bCs/>
                <w:i/>
                <w:color w:val="000000"/>
                <w:sz w:val="22"/>
                <w:szCs w:val="22"/>
              </w:rPr>
              <w:t>private</w:t>
            </w:r>
            <w:r w:rsidRPr="00504198">
              <w:rPr>
                <w:rFonts w:cs="Arial"/>
                <w:bCs/>
                <w:i/>
                <w:color w:val="000000"/>
                <w:sz w:val="22"/>
                <w:szCs w:val="22"/>
              </w:rPr>
              <w:t xml:space="preserve"> site 2019/20 to 2023/24</w:t>
            </w:r>
            <w:r>
              <w:rPr>
                <w:rFonts w:cs="Arial"/>
                <w:bCs/>
                <w:i/>
                <w:color w:val="000000"/>
                <w:sz w:val="22"/>
                <w:szCs w:val="22"/>
              </w:rPr>
              <w:t xml:space="preserve"> (Paices Hill) (L=E+I)</w:t>
            </w:r>
          </w:p>
        </w:tc>
        <w:tc>
          <w:tcPr>
            <w:tcW w:w="751" w:type="pct"/>
            <w:tcBorders>
              <w:top w:val="single" w:sz="8" w:space="0" w:color="006666"/>
              <w:left w:val="single" w:sz="8" w:space="0" w:color="006666"/>
              <w:bottom w:val="single" w:sz="8" w:space="0" w:color="006666"/>
              <w:right w:val="single" w:sz="8" w:space="0" w:color="006666"/>
            </w:tcBorders>
            <w:noWrap/>
            <w:vAlign w:val="center"/>
          </w:tcPr>
          <w:p w14:paraId="3E0C5487" w14:textId="77777777" w:rsidR="00787125" w:rsidRDefault="00787125" w:rsidP="00FE1557">
            <w:pPr>
              <w:spacing w:beforeLines="20" w:before="48" w:afterLines="20" w:after="48"/>
              <w:jc w:val="center"/>
              <w:rPr>
                <w:rFonts w:cs="Arial"/>
                <w:bCs/>
                <w:i/>
                <w:color w:val="000000"/>
                <w:sz w:val="22"/>
                <w:szCs w:val="22"/>
              </w:rPr>
            </w:pPr>
            <w:r>
              <w:rPr>
                <w:rFonts w:cs="Arial"/>
                <w:bCs/>
                <w:i/>
                <w:color w:val="000000"/>
                <w:sz w:val="22"/>
                <w:szCs w:val="22"/>
              </w:rPr>
              <w:t>29</w:t>
            </w:r>
          </w:p>
        </w:tc>
        <w:tc>
          <w:tcPr>
            <w:tcW w:w="609" w:type="pct"/>
            <w:tcBorders>
              <w:top w:val="single" w:sz="8" w:space="0" w:color="006666"/>
              <w:left w:val="single" w:sz="8" w:space="0" w:color="006666"/>
              <w:bottom w:val="single" w:sz="8" w:space="0" w:color="006666"/>
              <w:right w:val="single" w:sz="18" w:space="0" w:color="006666"/>
            </w:tcBorders>
            <w:noWrap/>
            <w:vAlign w:val="center"/>
          </w:tcPr>
          <w:p w14:paraId="7A1390A3" w14:textId="77777777" w:rsidR="00787125" w:rsidRDefault="00787125" w:rsidP="00FE1557">
            <w:pPr>
              <w:spacing w:beforeLines="20" w:before="48" w:afterLines="20" w:after="48"/>
              <w:jc w:val="center"/>
              <w:rPr>
                <w:rFonts w:cs="Arial"/>
                <w:bCs/>
                <w:i/>
                <w:color w:val="000000"/>
                <w:sz w:val="22"/>
                <w:szCs w:val="22"/>
              </w:rPr>
            </w:pPr>
            <w:r>
              <w:rPr>
                <w:rFonts w:cs="Arial"/>
                <w:bCs/>
                <w:i/>
                <w:color w:val="000000"/>
                <w:sz w:val="22"/>
                <w:szCs w:val="22"/>
              </w:rPr>
              <w:t>29</w:t>
            </w:r>
          </w:p>
        </w:tc>
      </w:tr>
      <w:tr w:rsidR="00787125" w:rsidRPr="00BA5A04" w14:paraId="7F80B89F" w14:textId="77777777" w:rsidTr="00CD5890">
        <w:tc>
          <w:tcPr>
            <w:tcW w:w="3640" w:type="pct"/>
            <w:tcBorders>
              <w:top w:val="single" w:sz="8" w:space="0" w:color="006666"/>
              <w:left w:val="single" w:sz="18" w:space="0" w:color="006666"/>
              <w:bottom w:val="single" w:sz="18" w:space="0" w:color="006666"/>
              <w:right w:val="single" w:sz="8" w:space="0" w:color="006666"/>
            </w:tcBorders>
            <w:vAlign w:val="bottom"/>
          </w:tcPr>
          <w:p w14:paraId="26740554" w14:textId="4E549273" w:rsidR="00787125" w:rsidRPr="00504198" w:rsidRDefault="00787125" w:rsidP="00FE1557">
            <w:pPr>
              <w:tabs>
                <w:tab w:val="left" w:pos="3673"/>
              </w:tabs>
              <w:rPr>
                <w:rFonts w:cs="Arial"/>
                <w:b/>
                <w:bCs/>
                <w:color w:val="000000"/>
                <w:sz w:val="22"/>
                <w:szCs w:val="22"/>
              </w:rPr>
            </w:pPr>
            <w:r w:rsidRPr="00504198">
              <w:rPr>
                <w:rFonts w:cs="Arial"/>
                <w:b/>
                <w:bCs/>
                <w:color w:val="000000"/>
                <w:sz w:val="22"/>
                <w:szCs w:val="22"/>
              </w:rPr>
              <w:t>Residual need 20</w:t>
            </w:r>
            <w:r>
              <w:rPr>
                <w:rFonts w:cs="Arial"/>
                <w:b/>
                <w:bCs/>
                <w:color w:val="000000"/>
                <w:sz w:val="22"/>
                <w:szCs w:val="22"/>
              </w:rPr>
              <w:t>18/</w:t>
            </w:r>
            <w:r w:rsidRPr="00504198">
              <w:rPr>
                <w:rFonts w:cs="Arial"/>
                <w:b/>
                <w:bCs/>
                <w:color w:val="000000"/>
                <w:sz w:val="22"/>
                <w:szCs w:val="22"/>
              </w:rPr>
              <w:t>19 to 2035/36</w:t>
            </w:r>
            <w:r>
              <w:rPr>
                <w:rFonts w:cs="Arial"/>
                <w:b/>
                <w:bCs/>
                <w:color w:val="000000"/>
                <w:sz w:val="22"/>
                <w:szCs w:val="22"/>
              </w:rPr>
              <w:t xml:space="preserve"> (M=C-K-L)</w:t>
            </w:r>
          </w:p>
        </w:tc>
        <w:tc>
          <w:tcPr>
            <w:tcW w:w="751" w:type="pct"/>
            <w:tcBorders>
              <w:top w:val="single" w:sz="8" w:space="0" w:color="006666"/>
              <w:left w:val="single" w:sz="8" w:space="0" w:color="006666"/>
              <w:bottom w:val="single" w:sz="18" w:space="0" w:color="006666"/>
              <w:right w:val="single" w:sz="8" w:space="0" w:color="006666"/>
            </w:tcBorders>
            <w:noWrap/>
            <w:vAlign w:val="center"/>
          </w:tcPr>
          <w:p w14:paraId="4BFD287A" w14:textId="65742AE7" w:rsidR="00787125" w:rsidRPr="00504198" w:rsidRDefault="0048335C" w:rsidP="00FE1557">
            <w:pPr>
              <w:spacing w:beforeLines="20" w:before="48" w:afterLines="20" w:after="48"/>
              <w:jc w:val="center"/>
              <w:rPr>
                <w:rFonts w:cs="Arial"/>
                <w:b/>
                <w:bCs/>
                <w:color w:val="000000"/>
                <w:sz w:val="22"/>
                <w:szCs w:val="22"/>
              </w:rPr>
            </w:pPr>
            <w:r>
              <w:rPr>
                <w:rFonts w:cs="Arial"/>
                <w:b/>
                <w:bCs/>
                <w:color w:val="000000"/>
                <w:sz w:val="22"/>
                <w:szCs w:val="22"/>
              </w:rPr>
              <w:t>22</w:t>
            </w:r>
          </w:p>
        </w:tc>
        <w:tc>
          <w:tcPr>
            <w:tcW w:w="609" w:type="pct"/>
            <w:tcBorders>
              <w:top w:val="single" w:sz="8" w:space="0" w:color="006666"/>
              <w:left w:val="single" w:sz="8" w:space="0" w:color="006666"/>
              <w:bottom w:val="single" w:sz="18" w:space="0" w:color="006666"/>
              <w:right w:val="single" w:sz="18" w:space="0" w:color="006666"/>
            </w:tcBorders>
            <w:noWrap/>
            <w:vAlign w:val="center"/>
          </w:tcPr>
          <w:p w14:paraId="4A06BCAB" w14:textId="48C1D3B7" w:rsidR="00787125" w:rsidRPr="00504198" w:rsidRDefault="00787125" w:rsidP="00FE1557">
            <w:pPr>
              <w:spacing w:beforeLines="20" w:before="48" w:afterLines="20" w:after="48"/>
              <w:jc w:val="center"/>
              <w:rPr>
                <w:rFonts w:cs="Arial"/>
                <w:b/>
                <w:bCs/>
                <w:color w:val="000000"/>
                <w:sz w:val="22"/>
                <w:szCs w:val="22"/>
              </w:rPr>
            </w:pPr>
            <w:r>
              <w:rPr>
                <w:rFonts w:cs="Arial"/>
                <w:b/>
                <w:bCs/>
                <w:color w:val="000000"/>
                <w:sz w:val="22"/>
                <w:szCs w:val="22"/>
              </w:rPr>
              <w:t>1</w:t>
            </w:r>
            <w:r w:rsidR="0048335C">
              <w:rPr>
                <w:rFonts w:cs="Arial"/>
                <w:b/>
                <w:bCs/>
                <w:color w:val="000000"/>
                <w:sz w:val="22"/>
                <w:szCs w:val="22"/>
              </w:rPr>
              <w:t>9</w:t>
            </w:r>
          </w:p>
        </w:tc>
      </w:tr>
    </w:tbl>
    <w:p w14:paraId="30E5153F" w14:textId="7294CC7F" w:rsidR="00787125" w:rsidRDefault="00787125" w:rsidP="00787125"/>
    <w:p w14:paraId="6E485E04" w14:textId="12B85544" w:rsidR="003E42B1" w:rsidRPr="002D6298" w:rsidRDefault="00CA0946" w:rsidP="003E42B1">
      <w:pPr>
        <w:pStyle w:val="Heading2"/>
        <w:ind w:left="709" w:firstLine="0"/>
      </w:pPr>
      <w:bookmarkStart w:id="281" w:name="_Toc13845493"/>
      <w:r w:rsidRPr="002D6298">
        <w:t xml:space="preserve">Comparison with the </w:t>
      </w:r>
      <w:r w:rsidR="002D791C" w:rsidRPr="002D6298">
        <w:t>previous GTAA</w:t>
      </w:r>
      <w:bookmarkEnd w:id="281"/>
    </w:p>
    <w:p w14:paraId="316EB789" w14:textId="3640BDA9" w:rsidR="002D791C" w:rsidRDefault="002D791C" w:rsidP="0014458C">
      <w:pPr>
        <w:pStyle w:val="Reporttext"/>
      </w:pPr>
      <w:r w:rsidRPr="002D6298">
        <w:t>The 2015 GTAA identified a 15</w:t>
      </w:r>
      <w:r w:rsidR="00B665FB">
        <w:t>-</w:t>
      </w:r>
      <w:r w:rsidRPr="002D6298">
        <w:t xml:space="preserve">year pitch need </w:t>
      </w:r>
      <w:r w:rsidR="002D6298" w:rsidRPr="002D6298">
        <w:t xml:space="preserve">(2014 </w:t>
      </w:r>
      <w:r w:rsidR="004D0FAA">
        <w:t>to</w:t>
      </w:r>
      <w:r w:rsidR="002D6298" w:rsidRPr="002D6298">
        <w:t xml:space="preserve"> 2029</w:t>
      </w:r>
      <w:r w:rsidR="00C021C2">
        <w:t>)</w:t>
      </w:r>
      <w:r w:rsidR="002D6298" w:rsidRPr="002D6298">
        <w:t xml:space="preserve"> </w:t>
      </w:r>
      <w:r w:rsidR="00934FFE" w:rsidRPr="002D6298">
        <w:t>of 17 pitches</w:t>
      </w:r>
      <w:r w:rsidR="0015640A">
        <w:t xml:space="preserve"> (an annualised need of 1.1)</w:t>
      </w:r>
      <w:r w:rsidR="007A2552">
        <w:t>.</w:t>
      </w:r>
    </w:p>
    <w:p w14:paraId="456B3ED8" w14:textId="3E56ACB3" w:rsidR="00C021C2" w:rsidRDefault="00C021C2" w:rsidP="00C021C2"/>
    <w:p w14:paraId="1FBE1799" w14:textId="77777777" w:rsidR="00C021C2" w:rsidRPr="004D0FAA" w:rsidRDefault="00C021C2" w:rsidP="00C021C2">
      <w:pPr>
        <w:pStyle w:val="Heading2"/>
      </w:pPr>
      <w:bookmarkStart w:id="282" w:name="_Toc13845494"/>
      <w:r w:rsidRPr="004D0FAA">
        <w:t>Transit site requirements</w:t>
      </w:r>
      <w:bookmarkEnd w:id="282"/>
    </w:p>
    <w:p w14:paraId="5A9C0B7E" w14:textId="77777777" w:rsidR="00C021C2" w:rsidRPr="004D0FAA" w:rsidRDefault="00C021C2" w:rsidP="0014458C">
      <w:pPr>
        <w:pStyle w:val="Reporttext"/>
      </w:pPr>
      <w:r w:rsidRPr="004D0FAA">
        <w:t xml:space="preserve">The household survey found that 60% of Gypsies and Travellers felt there was a need for transit provision.  A transit pitch normally has a hard standing, electric hook up and amenity shed. The number of transit pitches stated by respondents ranged between 1 and 15, with 4 the most frequently mentioned number. Most stated that the Council should manage any transit provision. </w:t>
      </w:r>
    </w:p>
    <w:p w14:paraId="2F71C27B" w14:textId="77777777" w:rsidR="00C021C2" w:rsidRPr="004D0FAA" w:rsidRDefault="00C021C2" w:rsidP="0014458C">
      <w:pPr>
        <w:pStyle w:val="Reporttext"/>
      </w:pPr>
      <w:r w:rsidRPr="004D0FAA">
        <w:t>A good indicator of transit need is unauthorised encampment activity and over the period 2014/15 to 2017/18 there have been a total of 39 recorded incidents on Council-owned land. The statistics exclude encampments on parish council and private land. The number of reported encampments has been generally increasing, with the following numbers reported annually:</w:t>
      </w:r>
    </w:p>
    <w:p w14:paraId="3A3EBD21" w14:textId="77777777" w:rsidR="00C021C2" w:rsidRPr="004D0FAA" w:rsidRDefault="00C021C2" w:rsidP="007A2552">
      <w:pPr>
        <w:pStyle w:val="Reporttext"/>
        <w:numPr>
          <w:ilvl w:val="0"/>
          <w:numId w:val="0"/>
        </w:numPr>
        <w:ind w:left="709"/>
      </w:pPr>
      <w:r w:rsidRPr="004D0FAA">
        <w:t>2014</w:t>
      </w:r>
      <w:r w:rsidRPr="004D0FAA">
        <w:tab/>
        <w:t>7</w:t>
      </w:r>
    </w:p>
    <w:p w14:paraId="13EA69AA" w14:textId="77777777" w:rsidR="00C021C2" w:rsidRPr="004D0FAA" w:rsidRDefault="00C021C2" w:rsidP="007A2552">
      <w:pPr>
        <w:pStyle w:val="Reporttext"/>
        <w:numPr>
          <w:ilvl w:val="0"/>
          <w:numId w:val="0"/>
        </w:numPr>
        <w:ind w:left="709"/>
      </w:pPr>
      <w:r w:rsidRPr="004D0FAA">
        <w:t>2015</w:t>
      </w:r>
      <w:r w:rsidRPr="004D0FAA">
        <w:tab/>
        <w:t>2</w:t>
      </w:r>
    </w:p>
    <w:p w14:paraId="22E46DF6" w14:textId="77777777" w:rsidR="00C021C2" w:rsidRPr="004D0FAA" w:rsidRDefault="00C021C2" w:rsidP="007A2552">
      <w:pPr>
        <w:pStyle w:val="Reporttext"/>
        <w:numPr>
          <w:ilvl w:val="0"/>
          <w:numId w:val="0"/>
        </w:numPr>
        <w:ind w:left="709"/>
      </w:pPr>
      <w:r w:rsidRPr="004D0FAA">
        <w:t>2016</w:t>
      </w:r>
      <w:r w:rsidRPr="004D0FAA">
        <w:tab/>
        <w:t>11</w:t>
      </w:r>
    </w:p>
    <w:p w14:paraId="305B299F" w14:textId="77777777" w:rsidR="00C021C2" w:rsidRPr="004D0FAA" w:rsidRDefault="00C021C2" w:rsidP="007A2552">
      <w:pPr>
        <w:pStyle w:val="Reporttext"/>
        <w:numPr>
          <w:ilvl w:val="0"/>
          <w:numId w:val="0"/>
        </w:numPr>
        <w:ind w:left="709"/>
      </w:pPr>
      <w:r w:rsidRPr="004D0FAA">
        <w:t>2017</w:t>
      </w:r>
      <w:r w:rsidRPr="004D0FAA">
        <w:tab/>
        <w:t>8</w:t>
      </w:r>
    </w:p>
    <w:p w14:paraId="34587588" w14:textId="77777777" w:rsidR="00C021C2" w:rsidRPr="004D0FAA" w:rsidRDefault="00C021C2" w:rsidP="007A2552">
      <w:pPr>
        <w:pStyle w:val="Reporttext"/>
        <w:numPr>
          <w:ilvl w:val="0"/>
          <w:numId w:val="0"/>
        </w:numPr>
        <w:ind w:left="709"/>
      </w:pPr>
      <w:r w:rsidRPr="004D0FAA">
        <w:t>2018</w:t>
      </w:r>
      <w:r w:rsidRPr="004D0FAA">
        <w:tab/>
        <w:t>11</w:t>
      </w:r>
    </w:p>
    <w:p w14:paraId="40A1A1CC" w14:textId="77777777" w:rsidR="00C021C2" w:rsidRPr="004D0FAA" w:rsidRDefault="00C021C2" w:rsidP="007A2552">
      <w:pPr>
        <w:pStyle w:val="Reporttext"/>
        <w:numPr>
          <w:ilvl w:val="0"/>
          <w:numId w:val="0"/>
        </w:numPr>
        <w:ind w:left="709"/>
      </w:pPr>
      <w:r w:rsidRPr="004D0FAA">
        <w:t>Total = 39</w:t>
      </w:r>
    </w:p>
    <w:p w14:paraId="13C8DC37" w14:textId="6FBCE618" w:rsidR="00C021C2" w:rsidRPr="004D0FAA" w:rsidRDefault="00C021C2" w:rsidP="0014458C">
      <w:pPr>
        <w:pStyle w:val="Reporttext"/>
      </w:pPr>
      <w:r w:rsidRPr="004D0FAA">
        <w:t xml:space="preserve">During the site observation period, two unauthorised encampments were visited. The first was at </w:t>
      </w:r>
      <w:r w:rsidRPr="00FE778B">
        <w:t>C</w:t>
      </w:r>
      <w:r w:rsidR="00FE778B" w:rsidRPr="00FE778B">
        <w:t>hi</w:t>
      </w:r>
      <w:r w:rsidR="00FE778B">
        <w:t>eveley</w:t>
      </w:r>
      <w:r w:rsidRPr="004D0FAA">
        <w:t xml:space="preserve"> which comprised three caravans and three household units. All were travelling through from visiting events in the south of England back to their homebases in Lincolnshire and Lancashire. The second encampment at Greenham comprised three caravans and three household units. The families were travelling together but had homebases in the south east. Households would consider using transit site but were cautious about sharing with families they were not travelling with</w:t>
      </w:r>
      <w:r w:rsidR="00B665FB">
        <w:t>.</w:t>
      </w:r>
    </w:p>
    <w:p w14:paraId="1BB4D9F0" w14:textId="203B539E" w:rsidR="00C021C2" w:rsidRPr="004D0FAA" w:rsidRDefault="00C021C2" w:rsidP="0014458C">
      <w:pPr>
        <w:pStyle w:val="Reporttext"/>
      </w:pPr>
      <w:r w:rsidRPr="004D0FAA">
        <w:t xml:space="preserve">Given the incidences of unauthorised encampment activity, the views of residents and those on unauthorised encampments, it is recommended that the Council considers the development of a transit site to facilitate travelling through the district. </w:t>
      </w:r>
      <w:r w:rsidR="007D4EA9">
        <w:t xml:space="preserve">Data were not available on the number of caravans on unauthorised encampments, but observations of unauthorised encampments and views of the Gypsy and Traveller community would suggest that a </w:t>
      </w:r>
      <w:r w:rsidR="00175B97">
        <w:t>4-pitch</w:t>
      </w:r>
      <w:r w:rsidR="007D4EA9">
        <w:t xml:space="preserve"> site (which could accommodate up to 8 caravans) would be appropriate. </w:t>
      </w:r>
      <w:r w:rsidRPr="004D0FAA">
        <w:t>Additionally, a tolerated stopping policy could be considered, where Travellers can be directed to appropriate locations to temporarily stop over with support if it is required.</w:t>
      </w:r>
    </w:p>
    <w:p w14:paraId="49206443" w14:textId="77777777" w:rsidR="00FA5945" w:rsidRDefault="00FA5945" w:rsidP="00CD5890"/>
    <w:p w14:paraId="056A4F80" w14:textId="7702FFE8" w:rsidR="00FA5945" w:rsidRPr="00F404C0" w:rsidRDefault="00FA5945" w:rsidP="00FA5945">
      <w:pPr>
        <w:pStyle w:val="Heading2"/>
      </w:pPr>
      <w:bookmarkStart w:id="283" w:name="_Toc13845495"/>
      <w:r>
        <w:t>Houseboat need</w:t>
      </w:r>
      <w:bookmarkEnd w:id="283"/>
    </w:p>
    <w:p w14:paraId="5A788EFB" w14:textId="389837EF" w:rsidR="00FA5945" w:rsidRDefault="00FA5945" w:rsidP="00FA5945">
      <w:pPr>
        <w:pStyle w:val="Reporttext"/>
      </w:pPr>
      <w:r>
        <w:t>Attempts were made to interview households living on houseboats. Two houseboats were identified – one refused to be interviewed and the other was not occupied at the time of interview. It is recommended that the Council maintain an ongoing review of houseboat activity and liaise with the Canals and Rivers Trust to identify any future need for moorings.</w:t>
      </w:r>
    </w:p>
    <w:p w14:paraId="1E2C2CC4" w14:textId="77777777" w:rsidR="00C021C2" w:rsidRPr="00C021C2" w:rsidRDefault="00C021C2" w:rsidP="00C021C2"/>
    <w:p w14:paraId="1AB96BD7" w14:textId="471321A0" w:rsidR="007525B2" w:rsidRPr="002D6298" w:rsidRDefault="007525B2" w:rsidP="0014458C">
      <w:pPr>
        <w:pStyle w:val="Heading1"/>
      </w:pPr>
      <w:bookmarkStart w:id="284" w:name="_Toc477256958"/>
      <w:bookmarkStart w:id="285" w:name="_Toc485383264"/>
      <w:bookmarkStart w:id="286" w:name="_Toc510091983"/>
      <w:bookmarkStart w:id="287" w:name="_Toc13845496"/>
      <w:bookmarkEnd w:id="253"/>
      <w:bookmarkEnd w:id="254"/>
      <w:r w:rsidRPr="002D6298">
        <w:t xml:space="preserve">Conclusion and </w:t>
      </w:r>
      <w:bookmarkEnd w:id="255"/>
      <w:r w:rsidRPr="002D6298">
        <w:t>strategic response</w:t>
      </w:r>
      <w:bookmarkEnd w:id="256"/>
      <w:bookmarkEnd w:id="257"/>
      <w:bookmarkEnd w:id="258"/>
      <w:bookmarkEnd w:id="259"/>
      <w:bookmarkEnd w:id="284"/>
      <w:bookmarkEnd w:id="285"/>
      <w:bookmarkEnd w:id="286"/>
      <w:bookmarkEnd w:id="287"/>
      <w:r w:rsidRPr="002D6298">
        <w:t xml:space="preserve"> </w:t>
      </w:r>
    </w:p>
    <w:p w14:paraId="566AD2F9" w14:textId="77777777" w:rsidR="007525B2" w:rsidRPr="002D6298" w:rsidRDefault="007525B2" w:rsidP="0014458C">
      <w:pPr>
        <w:pStyle w:val="Reporttext"/>
      </w:pPr>
      <w:r w:rsidRPr="002D6298">
        <w:t xml:space="preserve">This concluding chapter provides a brief summary of key issues emerging from the research; advice on the strategic responses available, including examples of good practice; and recommendations and next steps. </w:t>
      </w:r>
    </w:p>
    <w:p w14:paraId="5B2C7951" w14:textId="77777777" w:rsidR="007525B2" w:rsidRPr="007A2552" w:rsidRDefault="007525B2" w:rsidP="007A2552">
      <w:pPr>
        <w:pStyle w:val="Reporttext"/>
        <w:numPr>
          <w:ilvl w:val="0"/>
          <w:numId w:val="0"/>
        </w:numPr>
        <w:ind w:left="709"/>
      </w:pPr>
    </w:p>
    <w:p w14:paraId="5436F09E" w14:textId="77777777" w:rsidR="007525B2" w:rsidRPr="002D6298" w:rsidRDefault="007525B2" w:rsidP="007525B2">
      <w:pPr>
        <w:pStyle w:val="Heading2"/>
      </w:pPr>
      <w:bookmarkStart w:id="288" w:name="_Toc417995982"/>
      <w:bookmarkStart w:id="289" w:name="_Toc457575079"/>
      <w:bookmarkStart w:id="290" w:name="_Toc459646256"/>
      <w:bookmarkStart w:id="291" w:name="_Toc477256959"/>
      <w:bookmarkStart w:id="292" w:name="_Toc485383265"/>
      <w:bookmarkStart w:id="293" w:name="_Toc510091984"/>
      <w:bookmarkStart w:id="294" w:name="_Toc13845497"/>
      <w:r w:rsidRPr="002D6298">
        <w:t>Meeting permanent Gypsy and Traveller pitch requirements</w:t>
      </w:r>
      <w:bookmarkEnd w:id="288"/>
      <w:bookmarkEnd w:id="289"/>
      <w:bookmarkEnd w:id="290"/>
      <w:bookmarkEnd w:id="291"/>
      <w:bookmarkEnd w:id="292"/>
      <w:bookmarkEnd w:id="293"/>
      <w:bookmarkEnd w:id="294"/>
      <w:r w:rsidRPr="002D6298">
        <w:t xml:space="preserve"> </w:t>
      </w:r>
    </w:p>
    <w:p w14:paraId="601F256D" w14:textId="50B9E689" w:rsidR="00C1114B" w:rsidRPr="002D6298" w:rsidRDefault="007525B2" w:rsidP="0014458C">
      <w:pPr>
        <w:pStyle w:val="Reporttext"/>
      </w:pPr>
      <w:r w:rsidRPr="002D6298">
        <w:t xml:space="preserve">There are currently </w:t>
      </w:r>
      <w:r w:rsidR="002D6298">
        <w:t>3</w:t>
      </w:r>
      <w:r w:rsidR="00AF21FD">
        <w:t>6</w:t>
      </w:r>
      <w:r w:rsidRPr="002D6298">
        <w:t xml:space="preserve"> Gypsy and Traveller households living on </w:t>
      </w:r>
      <w:r w:rsidR="002D6298">
        <w:t>3</w:t>
      </w:r>
      <w:r w:rsidR="00AF21FD">
        <w:t>6</w:t>
      </w:r>
      <w:r w:rsidR="00BB1B41" w:rsidRPr="002D6298">
        <w:t xml:space="preserve"> occupied</w:t>
      </w:r>
      <w:r w:rsidRPr="002D6298">
        <w:t xml:space="preserve"> pitches across </w:t>
      </w:r>
      <w:r w:rsidR="00EE6DA0" w:rsidRPr="002D6298">
        <w:t>West Berkshire</w:t>
      </w:r>
      <w:r w:rsidR="00F902BD" w:rsidRPr="002D6298">
        <w:t xml:space="preserve"> </w:t>
      </w:r>
      <w:r w:rsidR="00473EAA" w:rsidRPr="002D6298">
        <w:t>District</w:t>
      </w:r>
      <w:r w:rsidR="0024784E" w:rsidRPr="002D6298">
        <w:t>.</w:t>
      </w:r>
      <w:r w:rsidR="00C1114B" w:rsidRPr="002D6298">
        <w:t xml:space="preserve"> Table </w:t>
      </w:r>
      <w:r w:rsidR="00787125">
        <w:t>8</w:t>
      </w:r>
      <w:r w:rsidR="00C1114B" w:rsidRPr="002D6298">
        <w:t>.1 sets out the overall plan period need, broken down into the first 5 years 2018/1</w:t>
      </w:r>
      <w:r w:rsidR="00F404C0">
        <w:t>9</w:t>
      </w:r>
      <w:r w:rsidR="00C1114B" w:rsidRPr="002D6298">
        <w:t xml:space="preserve"> to 2022/23 and the longer-term 2023/24 to 2035/36</w:t>
      </w:r>
      <w:r w:rsidR="00222102" w:rsidRPr="002D6298">
        <w:t xml:space="preserve"> (</w:t>
      </w:r>
      <w:r w:rsidR="00F404C0">
        <w:t>29</w:t>
      </w:r>
      <w:r w:rsidR="00222102" w:rsidRPr="002D6298">
        <w:t xml:space="preserve"> pitches)</w:t>
      </w:r>
      <w:r w:rsidR="00C1114B" w:rsidRPr="002D6298">
        <w:t xml:space="preserve">. </w:t>
      </w:r>
      <w:r w:rsidR="00F404C0">
        <w:t xml:space="preserve">Overall there is a cultural need for </w:t>
      </w:r>
      <w:r w:rsidR="00AF21FD">
        <w:t>5</w:t>
      </w:r>
      <w:r w:rsidR="00787125">
        <w:t>1</w:t>
      </w:r>
      <w:r w:rsidR="00F404C0">
        <w:t xml:space="preserve"> pitches and a PPTS need for </w:t>
      </w:r>
      <w:r w:rsidR="00AF21FD">
        <w:t>4</w:t>
      </w:r>
      <w:r w:rsidR="00787125">
        <w:t>8</w:t>
      </w:r>
      <w:r w:rsidR="00F404C0">
        <w:t xml:space="preserve"> pitches over the plan period 2018/19 to 2035/36. </w:t>
      </w:r>
    </w:p>
    <w:p w14:paraId="70482DD2" w14:textId="5C832C5F" w:rsidR="00C1114B" w:rsidRDefault="00C1114B" w:rsidP="0014458C">
      <w:pPr>
        <w:pStyle w:val="Reporttext"/>
      </w:pPr>
      <w:r w:rsidRPr="00F404C0">
        <w:t xml:space="preserve">In considering how this need can be addressed, </w:t>
      </w:r>
      <w:r w:rsidR="00222102" w:rsidRPr="00F404C0">
        <w:t>analysis</w:t>
      </w:r>
      <w:r w:rsidRPr="00F404C0">
        <w:t xml:space="preserve"> has considered potential turnover on the Local Authority site</w:t>
      </w:r>
      <w:r w:rsidR="00F404C0" w:rsidRPr="00F404C0">
        <w:t xml:space="preserve">, </w:t>
      </w:r>
      <w:r w:rsidR="00787125">
        <w:t>turnover on the Paices Hill site</w:t>
      </w:r>
      <w:r w:rsidRPr="00F404C0">
        <w:t xml:space="preserve"> and the potential expansion/intensification of existing authorised sites.</w:t>
      </w:r>
      <w:r w:rsidR="00787125">
        <w:t xml:space="preserve"> Although not normally considered in modelling need, there has been turnover on Paices Hill which has the potential to help address need. It is included in Table </w:t>
      </w:r>
      <w:r w:rsidR="0048335C">
        <w:t>7.5</w:t>
      </w:r>
      <w:r w:rsidR="00787125">
        <w:t xml:space="preserve"> to illustrate the impact of including turnover and regularisation of pitches on the overall needs identified.</w:t>
      </w:r>
      <w:r w:rsidRPr="00F404C0">
        <w:t xml:space="preserve"> </w:t>
      </w:r>
      <w:r w:rsidR="00787125">
        <w:t>It is recommended that the Council engages with the owner of Paices Hill and monitors turnover going forward.</w:t>
      </w:r>
    </w:p>
    <w:p w14:paraId="5499444D" w14:textId="414FE569" w:rsidR="00C1114B" w:rsidRPr="00F404C0" w:rsidRDefault="00787125" w:rsidP="0048335C">
      <w:pPr>
        <w:pStyle w:val="Reporttext"/>
      </w:pPr>
      <w:r>
        <w:t xml:space="preserve">The upshot is that over the plan period, the cultural need of 51 is reduced to </w:t>
      </w:r>
      <w:r w:rsidR="0048335C">
        <w:t>22</w:t>
      </w:r>
      <w:r>
        <w:t xml:space="preserve"> and the PPTS need from 48 to 1</w:t>
      </w:r>
      <w:r w:rsidR="0048335C">
        <w:t>9</w:t>
      </w:r>
      <w:r>
        <w:t>.</w:t>
      </w:r>
    </w:p>
    <w:p w14:paraId="51C0A03E" w14:textId="77777777" w:rsidR="0048335C" w:rsidRDefault="006C687A" w:rsidP="0014458C">
      <w:pPr>
        <w:pStyle w:val="Reporttext"/>
      </w:pPr>
      <w:r w:rsidRPr="00F404C0">
        <w:t xml:space="preserve">It is recommended that </w:t>
      </w:r>
      <w:r w:rsidR="002A1E08" w:rsidRPr="00F404C0">
        <w:t>future policy work</w:t>
      </w:r>
      <w:r w:rsidRPr="00F404C0">
        <w:t xml:space="preserve"> acknowledges this range of need. </w:t>
      </w:r>
    </w:p>
    <w:p w14:paraId="04D53331" w14:textId="77777777" w:rsidR="0048335C" w:rsidRDefault="0048335C" w:rsidP="007525B2">
      <w:pPr>
        <w:pStyle w:val="Heading2"/>
      </w:pPr>
      <w:bookmarkStart w:id="295" w:name="_Toc477256960"/>
      <w:bookmarkStart w:id="296" w:name="_Toc485383266"/>
      <w:bookmarkStart w:id="297" w:name="_Toc510091985"/>
    </w:p>
    <w:p w14:paraId="21F711D8" w14:textId="65D05837" w:rsidR="007525B2" w:rsidRPr="00F404C0" w:rsidRDefault="007525B2" w:rsidP="007525B2">
      <w:pPr>
        <w:pStyle w:val="Heading2"/>
      </w:pPr>
      <w:bookmarkStart w:id="298" w:name="_Toc13845498"/>
      <w:r w:rsidRPr="00F404C0">
        <w:t>Meeting permanent Travelling Showperson requirements</w:t>
      </w:r>
      <w:bookmarkEnd w:id="295"/>
      <w:bookmarkEnd w:id="296"/>
      <w:bookmarkEnd w:id="297"/>
      <w:bookmarkEnd w:id="298"/>
    </w:p>
    <w:p w14:paraId="5A2A80CD" w14:textId="1BF76380" w:rsidR="00E21336" w:rsidRPr="00F404C0" w:rsidRDefault="00F404C0" w:rsidP="000717E8">
      <w:pPr>
        <w:pStyle w:val="Reporttext"/>
      </w:pPr>
      <w:r w:rsidRPr="00F404C0">
        <w:t xml:space="preserve">Following on from the 2015 GTAA, a </w:t>
      </w:r>
      <w:r w:rsidR="000717E8">
        <w:t xml:space="preserve">site for a </w:t>
      </w:r>
      <w:r w:rsidRPr="00F404C0">
        <w:t>Travelling Showperson</w:t>
      </w:r>
      <w:r w:rsidR="000717E8">
        <w:t>’s</w:t>
      </w:r>
      <w:r w:rsidRPr="00F404C0">
        <w:t xml:space="preserve"> yard</w:t>
      </w:r>
      <w:r w:rsidR="000717E8">
        <w:t xml:space="preserve"> was allocated in the 2017 Housing Site Al</w:t>
      </w:r>
      <w:r w:rsidR="00AF21FD">
        <w:t>l</w:t>
      </w:r>
      <w:r w:rsidR="000717E8">
        <w:t xml:space="preserve">ocations Development Plan Document, with 24 plots overall (20 to be delivered within five years and 4 thereafter). This remains in place and a temporary planning application has been submitted and approved. At the time of preparation of the GTAA, this allocated land had not been developed as a residential yard. </w:t>
      </w:r>
      <w:r w:rsidRPr="00F404C0">
        <w:t xml:space="preserve">The </w:t>
      </w:r>
      <w:r w:rsidRPr="008479B9">
        <w:t>201</w:t>
      </w:r>
      <w:r w:rsidR="00D568D9" w:rsidRPr="008479B9">
        <w:t>9</w:t>
      </w:r>
      <w:r w:rsidRPr="00F404C0">
        <w:t xml:space="preserve"> GTAA concludes there is no additional need for Travelling Showperson yards across the district. </w:t>
      </w:r>
    </w:p>
    <w:p w14:paraId="6D7FD17F" w14:textId="732F9C78" w:rsidR="007525B2" w:rsidRDefault="007525B2" w:rsidP="007A2552">
      <w:pPr>
        <w:pStyle w:val="Reporttext"/>
        <w:numPr>
          <w:ilvl w:val="0"/>
          <w:numId w:val="0"/>
        </w:numPr>
        <w:ind w:left="709"/>
      </w:pPr>
    </w:p>
    <w:p w14:paraId="3EB4B435" w14:textId="79AD998A" w:rsidR="00FA5945" w:rsidRPr="00F404C0" w:rsidRDefault="00FA5945" w:rsidP="00FA5945">
      <w:pPr>
        <w:pStyle w:val="Heading2"/>
      </w:pPr>
      <w:bookmarkStart w:id="299" w:name="_Toc13845499"/>
      <w:r>
        <w:t>Houseboat need</w:t>
      </w:r>
      <w:bookmarkEnd w:id="299"/>
    </w:p>
    <w:p w14:paraId="582D445A" w14:textId="0C2374B2" w:rsidR="00FA5945" w:rsidRDefault="00FA5945" w:rsidP="00FA5945">
      <w:pPr>
        <w:pStyle w:val="Reporttext"/>
      </w:pPr>
      <w:r>
        <w:t>No specific need was identified.  It is recommended that the Council maintain an ongoing review of houseboat activity and liaise with the Canals and Rivers Trust to identify any future need.</w:t>
      </w:r>
    </w:p>
    <w:p w14:paraId="5EA85847" w14:textId="77777777" w:rsidR="00FA5945" w:rsidRPr="007A2552" w:rsidRDefault="00FA5945" w:rsidP="007A2552">
      <w:pPr>
        <w:pStyle w:val="Reporttext"/>
        <w:numPr>
          <w:ilvl w:val="0"/>
          <w:numId w:val="0"/>
        </w:numPr>
        <w:ind w:left="709"/>
      </w:pPr>
    </w:p>
    <w:p w14:paraId="5B94E65A" w14:textId="77777777" w:rsidR="007525B2" w:rsidRPr="004D0FAA" w:rsidRDefault="007525B2" w:rsidP="007525B2">
      <w:pPr>
        <w:pStyle w:val="Heading2"/>
      </w:pPr>
      <w:bookmarkStart w:id="300" w:name="_Toc477256962"/>
      <w:bookmarkStart w:id="301" w:name="_Toc485383267"/>
      <w:bookmarkStart w:id="302" w:name="_Toc510091986"/>
      <w:bookmarkStart w:id="303" w:name="_Toc13845500"/>
      <w:r w:rsidRPr="004D0FAA">
        <w:t>Meeting transit site/stop over requirements</w:t>
      </w:r>
      <w:bookmarkEnd w:id="300"/>
      <w:bookmarkEnd w:id="301"/>
      <w:bookmarkEnd w:id="302"/>
      <w:bookmarkEnd w:id="303"/>
      <w:r w:rsidRPr="004D0FAA">
        <w:t xml:space="preserve"> </w:t>
      </w:r>
    </w:p>
    <w:p w14:paraId="7CEAAC35" w14:textId="67B6535C" w:rsidR="00742B1F" w:rsidRPr="004D0FAA" w:rsidRDefault="00742B1F" w:rsidP="0014458C">
      <w:pPr>
        <w:pStyle w:val="Reporttext"/>
      </w:pPr>
      <w:r w:rsidRPr="004D0FAA">
        <w:t xml:space="preserve">Given the level of unauthorised encampment and </w:t>
      </w:r>
      <w:r w:rsidR="00E55FAE" w:rsidRPr="004D0FAA">
        <w:t xml:space="preserve">the </w:t>
      </w:r>
      <w:r w:rsidRPr="004D0FAA">
        <w:t xml:space="preserve">need expressed by </w:t>
      </w:r>
      <w:r w:rsidR="002677B8" w:rsidRPr="004D0FAA">
        <w:t>the community, it is recommended that the Council considers</w:t>
      </w:r>
      <w:r w:rsidR="00222102" w:rsidRPr="004D0FAA">
        <w:t xml:space="preserve"> the need for transit pitches. </w:t>
      </w:r>
      <w:r w:rsidR="004D0FAA">
        <w:t>Data were not available on the number of caravans on unauthorised encampments, but observations of unauthorised encampments and views of the Gypsy and Traveller community would suggest that a 4</w:t>
      </w:r>
      <w:r w:rsidR="000B5646">
        <w:t>-</w:t>
      </w:r>
      <w:r w:rsidR="004D0FAA">
        <w:t>pitch site</w:t>
      </w:r>
      <w:r w:rsidR="000B5646">
        <w:t>,</w:t>
      </w:r>
      <w:r w:rsidR="004D0FAA">
        <w:t xml:space="preserve"> (which could accommodate up to 8 caravans)</w:t>
      </w:r>
      <w:r w:rsidR="000B5646">
        <w:t>,</w:t>
      </w:r>
      <w:r w:rsidR="004D0FAA">
        <w:t xml:space="preserve"> would be appropriate. </w:t>
      </w:r>
      <w:r w:rsidR="00222102" w:rsidRPr="004D0FAA">
        <w:t>Additionally</w:t>
      </w:r>
      <w:r w:rsidR="002677B8" w:rsidRPr="004D0FAA">
        <w:t>, a tolerated stopping policy could be considered, where Travellers can be directed to appropriate locations to temporarily stop over with support if it is required.</w:t>
      </w:r>
    </w:p>
    <w:p w14:paraId="6346729C" w14:textId="77777777" w:rsidR="00464620" w:rsidRPr="007A2552" w:rsidRDefault="00464620" w:rsidP="007A2552">
      <w:pPr>
        <w:pStyle w:val="Reporttext"/>
        <w:numPr>
          <w:ilvl w:val="0"/>
          <w:numId w:val="0"/>
        </w:numPr>
        <w:ind w:left="709"/>
      </w:pPr>
    </w:p>
    <w:p w14:paraId="251EBFCA" w14:textId="77777777" w:rsidR="007525B2" w:rsidRPr="00F404C0" w:rsidRDefault="007525B2" w:rsidP="007525B2">
      <w:pPr>
        <w:pStyle w:val="Heading2"/>
      </w:pPr>
      <w:bookmarkStart w:id="304" w:name="_Toc485383268"/>
      <w:bookmarkStart w:id="305" w:name="_Toc510091987"/>
      <w:bookmarkStart w:id="306" w:name="_Toc13845501"/>
      <w:r w:rsidRPr="00F404C0">
        <w:t>Good practice in planning for Gypsy and Traveller provision</w:t>
      </w:r>
      <w:bookmarkEnd w:id="304"/>
      <w:bookmarkEnd w:id="305"/>
      <w:bookmarkEnd w:id="306"/>
    </w:p>
    <w:p w14:paraId="27B069DF" w14:textId="77777777" w:rsidR="007525B2" w:rsidRPr="00F404C0" w:rsidRDefault="007525B2" w:rsidP="0014458C">
      <w:pPr>
        <w:pStyle w:val="Reporttext"/>
      </w:pPr>
      <w:r w:rsidRPr="00F404C0">
        <w:t>There are a number of resources available to local planning authorities to assist them in planning for Gypsy and Traveller provision, including resources from the Planning Advisory Service (PAS) and the Royal Town Planning Institute (RTPI), which are presented in Appendix B. In addition, the Local Government Agency and Local Government Association have resources available for local authorities working with Traveller communities to identify sites for new provision, these include dedicated learning aids for elected members</w:t>
      </w:r>
      <w:r w:rsidRPr="00F404C0">
        <w:rPr>
          <w:vertAlign w:val="superscript"/>
        </w:rPr>
        <w:footnoteReference w:id="26"/>
      </w:r>
      <w:r w:rsidRPr="00F404C0">
        <w:t xml:space="preserve">. </w:t>
      </w:r>
    </w:p>
    <w:p w14:paraId="35DA6069" w14:textId="77777777" w:rsidR="007525B2" w:rsidRPr="00F404C0" w:rsidRDefault="007525B2" w:rsidP="0014458C">
      <w:pPr>
        <w:pStyle w:val="Reporttext"/>
      </w:pPr>
      <w:r w:rsidRPr="00F404C0">
        <w:t>Work undertaken by PAS</w:t>
      </w:r>
      <w:r w:rsidRPr="00F404C0">
        <w:rPr>
          <w:vertAlign w:val="superscript"/>
        </w:rPr>
        <w:footnoteReference w:id="27"/>
      </w:r>
      <w:r w:rsidRPr="00F404C0">
        <w:t xml:space="preserve"> identified ways in which the planning process can increase the supply of authorised Gypsy and Traveller pitches. The RTPI has developed a series of Good Practice Notes for local planning authorities. Both are summarised at Appendix B. </w:t>
      </w:r>
    </w:p>
    <w:p w14:paraId="15B1722A" w14:textId="77777777" w:rsidR="007525B2" w:rsidRPr="00F404C0" w:rsidRDefault="007525B2" w:rsidP="007525B2"/>
    <w:p w14:paraId="53757CD0" w14:textId="77777777" w:rsidR="007525B2" w:rsidRPr="00F404C0" w:rsidRDefault="007525B2" w:rsidP="007525B2">
      <w:pPr>
        <w:pStyle w:val="Heading2"/>
      </w:pPr>
      <w:bookmarkStart w:id="307" w:name="_Toc417995983"/>
      <w:bookmarkStart w:id="308" w:name="_Toc284159028"/>
      <w:bookmarkStart w:id="309" w:name="_Toc375313647"/>
      <w:bookmarkStart w:id="310" w:name="_Toc371414634"/>
      <w:bookmarkStart w:id="311" w:name="_Toc457575080"/>
      <w:bookmarkStart w:id="312" w:name="_Toc459646257"/>
      <w:bookmarkStart w:id="313" w:name="_Toc477256963"/>
      <w:bookmarkStart w:id="314" w:name="_Toc485383269"/>
      <w:bookmarkStart w:id="315" w:name="_Toc510091988"/>
      <w:bookmarkStart w:id="316" w:name="_Toc13845502"/>
      <w:r w:rsidRPr="00F404C0">
        <w:t>Concluding comments</w:t>
      </w:r>
      <w:bookmarkEnd w:id="307"/>
      <w:bookmarkEnd w:id="308"/>
      <w:bookmarkEnd w:id="309"/>
      <w:bookmarkEnd w:id="310"/>
      <w:bookmarkEnd w:id="311"/>
      <w:bookmarkEnd w:id="312"/>
      <w:bookmarkEnd w:id="313"/>
      <w:bookmarkEnd w:id="314"/>
      <w:bookmarkEnd w:id="315"/>
      <w:bookmarkEnd w:id="316"/>
    </w:p>
    <w:p w14:paraId="5C9C2874" w14:textId="4F01F73E" w:rsidR="0025499A" w:rsidRDefault="007525B2" w:rsidP="0014458C">
      <w:pPr>
        <w:pStyle w:val="Reporttext"/>
      </w:pPr>
      <w:r w:rsidRPr="00F404C0">
        <w:t xml:space="preserve">The overarching purpose of this study has been to </w:t>
      </w:r>
      <w:r w:rsidR="00DF4CDF" w:rsidRPr="00F404C0">
        <w:t xml:space="preserve">update the </w:t>
      </w:r>
      <w:r w:rsidRPr="00F404C0">
        <w:t>accomm</w:t>
      </w:r>
      <w:r w:rsidR="00DF4CDF" w:rsidRPr="00F404C0">
        <w:t>odation requirements of Gypsies and</w:t>
      </w:r>
      <w:r w:rsidRPr="00F404C0">
        <w:t xml:space="preserve"> Travellers across </w:t>
      </w:r>
      <w:r w:rsidR="00EE6DA0" w:rsidRPr="00F404C0">
        <w:t>West Berkshire</w:t>
      </w:r>
      <w:r w:rsidR="00E27523" w:rsidRPr="00F404C0">
        <w:t xml:space="preserve"> </w:t>
      </w:r>
      <w:r w:rsidR="00473EAA" w:rsidRPr="00F404C0">
        <w:t>District</w:t>
      </w:r>
      <w:r w:rsidRPr="00F404C0">
        <w:t>.</w:t>
      </w:r>
      <w:r w:rsidR="00E21336" w:rsidRPr="00F404C0">
        <w:t xml:space="preserve"> </w:t>
      </w:r>
      <w:bookmarkStart w:id="317" w:name="_Toc198350464"/>
      <w:bookmarkStart w:id="318" w:name="_Toc457575081"/>
      <w:bookmarkStart w:id="319" w:name="_Toc417995984"/>
      <w:bookmarkStart w:id="320" w:name="_Toc375313648"/>
      <w:bookmarkStart w:id="321" w:name="_Toc459646258"/>
      <w:bookmarkStart w:id="322" w:name="_Toc477256964"/>
      <w:bookmarkStart w:id="323" w:name="_Toc195690647"/>
      <w:bookmarkStart w:id="324" w:name="_Toc190858166"/>
      <w:r w:rsidRPr="00F404C0">
        <w:t>It is recommended that this evidence base is refreshed on a five-yearly basis to ensure that the level of pitch and pitch provision re</w:t>
      </w:r>
      <w:r w:rsidR="00DF4CDF" w:rsidRPr="00F404C0">
        <w:t>mains appropriate for the Gypsy and</w:t>
      </w:r>
      <w:r w:rsidRPr="00F404C0">
        <w:t xml:space="preserve"> Traveller</w:t>
      </w:r>
      <w:r w:rsidR="00DF4CDF" w:rsidRPr="00F404C0">
        <w:t>s</w:t>
      </w:r>
      <w:r w:rsidRPr="00F404C0">
        <w:t xml:space="preserve"> across </w:t>
      </w:r>
      <w:r w:rsidR="00EE6DA0" w:rsidRPr="00F404C0">
        <w:t>West Berkshire</w:t>
      </w:r>
      <w:r w:rsidR="00E27523" w:rsidRPr="00F404C0">
        <w:t xml:space="preserve"> </w:t>
      </w:r>
      <w:r w:rsidR="00473EAA" w:rsidRPr="00F404C0">
        <w:t>District</w:t>
      </w:r>
      <w:r w:rsidRPr="00F404C0">
        <w:t>.</w:t>
      </w:r>
      <w:bookmarkStart w:id="325" w:name="_Toc485383270"/>
    </w:p>
    <w:p w14:paraId="4110A305" w14:textId="77777777" w:rsidR="00787125" w:rsidRDefault="00787125" w:rsidP="007A2552">
      <w:pPr>
        <w:pStyle w:val="Reporttext"/>
        <w:numPr>
          <w:ilvl w:val="0"/>
          <w:numId w:val="0"/>
        </w:numPr>
        <w:ind w:left="709"/>
      </w:pPr>
    </w:p>
    <w:p w14:paraId="287CEA71" w14:textId="364AD47A" w:rsidR="00CD5890" w:rsidRDefault="00CD5890">
      <w:pPr>
        <w:spacing w:before="0" w:after="0"/>
        <w:jc w:val="left"/>
      </w:pPr>
      <w:r>
        <w:br w:type="page"/>
      </w:r>
    </w:p>
    <w:p w14:paraId="1C0E13D4" w14:textId="6C485AC9" w:rsidR="007525B2" w:rsidRDefault="007525B2" w:rsidP="0014458C">
      <w:pPr>
        <w:pStyle w:val="Heading1"/>
        <w:numPr>
          <w:ilvl w:val="0"/>
          <w:numId w:val="0"/>
        </w:numPr>
      </w:pPr>
      <w:bookmarkStart w:id="326" w:name="_Toc510091989"/>
      <w:bookmarkStart w:id="327" w:name="_Toc13845503"/>
      <w:r>
        <w:t>Appendix A</w:t>
      </w:r>
      <w:bookmarkEnd w:id="317"/>
      <w:r>
        <w:t xml:space="preserve">: </w:t>
      </w:r>
      <w:r w:rsidR="007A2552">
        <w:t xml:space="preserve"> </w:t>
      </w:r>
      <w:r>
        <w:t xml:space="preserve">Legislative </w:t>
      </w:r>
      <w:bookmarkEnd w:id="318"/>
      <w:r>
        <w:t>background</w:t>
      </w:r>
      <w:bookmarkEnd w:id="319"/>
      <w:bookmarkEnd w:id="320"/>
      <w:bookmarkEnd w:id="321"/>
      <w:bookmarkEnd w:id="322"/>
      <w:bookmarkEnd w:id="325"/>
      <w:bookmarkEnd w:id="326"/>
      <w:bookmarkEnd w:id="327"/>
    </w:p>
    <w:p w14:paraId="2ECFB8DF" w14:textId="77777777" w:rsidR="007A2552" w:rsidRPr="007A2552" w:rsidRDefault="007A2552" w:rsidP="007A2552"/>
    <w:p w14:paraId="3075450B" w14:textId="77777777" w:rsidR="007525B2" w:rsidRDefault="007525B2" w:rsidP="008F0D87">
      <w:pPr>
        <w:numPr>
          <w:ilvl w:val="1"/>
          <w:numId w:val="20"/>
        </w:numPr>
        <w:rPr>
          <w:rFonts w:cs="Arial"/>
        </w:rPr>
      </w:pPr>
      <w:r>
        <w:rPr>
          <w:rFonts w:cs="Arial"/>
        </w:rPr>
        <w:t xml:space="preserve">The </w:t>
      </w:r>
      <w:r>
        <w:rPr>
          <w:rFonts w:cs="Arial"/>
          <w:b/>
        </w:rPr>
        <w:t>1960 Caravan Sites and Control of Development Act</w:t>
      </w:r>
      <w:r>
        <w:rPr>
          <w:rFonts w:cs="Arial"/>
        </w:rPr>
        <w:t xml:space="preserve"> enabled councils to ban the siting of caravans for human occupation on common land, and led to the closure of many sites.</w:t>
      </w:r>
    </w:p>
    <w:p w14:paraId="1DE68F0A" w14:textId="4D175736" w:rsidR="007525B2" w:rsidRDefault="007525B2" w:rsidP="008F0D87">
      <w:pPr>
        <w:numPr>
          <w:ilvl w:val="1"/>
          <w:numId w:val="20"/>
        </w:numPr>
        <w:rPr>
          <w:rFonts w:cs="Arial"/>
        </w:rPr>
      </w:pPr>
      <w:r w:rsidRPr="00B95D8F">
        <w:rPr>
          <w:rFonts w:cs="Arial"/>
        </w:rPr>
        <w:t>The</w:t>
      </w:r>
      <w:r>
        <w:rPr>
          <w:rFonts w:cs="Arial"/>
        </w:rPr>
        <w:t xml:space="preserve"> </w:t>
      </w:r>
      <w:r>
        <w:rPr>
          <w:rFonts w:cs="Arial"/>
          <w:b/>
        </w:rPr>
        <w:t>Caravan Sites Act 1968 (Part II)</w:t>
      </w:r>
      <w:r>
        <w:rPr>
          <w:rFonts w:cs="Arial"/>
        </w:rPr>
        <w:t xml:space="preserve"> required local authorities </w:t>
      </w:r>
      <w:r>
        <w:rPr>
          <w:rFonts w:cs="Arial"/>
          <w:i/>
        </w:rPr>
        <w:t>'so far as may be necessary to provide adequate accommodation for Gypsies residing in or resorting to their area'</w:t>
      </w:r>
      <w:r>
        <w:rPr>
          <w:rFonts w:cs="Arial"/>
        </w:rPr>
        <w:t>. It empowered the Secretary of State to make designation orders for areas where h</w:t>
      </w:r>
      <w:r w:rsidR="000B5646">
        <w:rPr>
          <w:rFonts w:cs="Arial"/>
        </w:rPr>
        <w:t>e</w:t>
      </w:r>
      <w:r>
        <w:rPr>
          <w:rFonts w:cs="Arial"/>
        </w:rPr>
        <w:t xml:space="preserve"> was satisfied that there was adequate accommodation, or on grounds of expediency. Following the recommendations of the Cripps Commission in 1980, provision began to grow rapidly only after the allocation of 100% grants from central government. By 1994 a third of local authorities had achieved designation, which meant that they were not required to make further provision and were given additional powers to act against unauthorised encampments. The repeal of most of the Caravan Sites Act under the Criminal Justice and Public Order Act</w:t>
      </w:r>
      <w:r>
        <w:rPr>
          <w:rFonts w:cs="Arial"/>
          <w:b/>
        </w:rPr>
        <w:t xml:space="preserve"> </w:t>
      </w:r>
      <w:r>
        <w:rPr>
          <w:rFonts w:cs="Arial"/>
        </w:rPr>
        <w:t>in 1994 led to a reduction in provision, with some sites being closed over a period in which the Gypsy and Traveller population was increasing.</w:t>
      </w:r>
    </w:p>
    <w:p w14:paraId="310A3685" w14:textId="77777777" w:rsidR="007525B2" w:rsidRDefault="007525B2" w:rsidP="008F0D87">
      <w:pPr>
        <w:numPr>
          <w:ilvl w:val="1"/>
          <w:numId w:val="20"/>
        </w:numPr>
        <w:rPr>
          <w:rFonts w:cs="Arial"/>
        </w:rPr>
      </w:pPr>
      <w:r>
        <w:rPr>
          <w:rFonts w:cs="Arial"/>
        </w:rPr>
        <w:t xml:space="preserve">The </w:t>
      </w:r>
      <w:r>
        <w:rPr>
          <w:rFonts w:cs="Arial"/>
          <w:b/>
        </w:rPr>
        <w:t xml:space="preserve">1994 Criminal Justice and Public Order Act </w:t>
      </w:r>
      <w:r>
        <w:rPr>
          <w:rFonts w:cs="Arial"/>
        </w:rPr>
        <w:t>(CJ&amp;POA):</w:t>
      </w:r>
    </w:p>
    <w:p w14:paraId="51C7A3CA" w14:textId="74A0E73B" w:rsidR="00161B4C" w:rsidRPr="00161B4C" w:rsidRDefault="00161B4C" w:rsidP="00161B4C">
      <w:pPr>
        <w:pStyle w:val="bullet"/>
      </w:pPr>
      <w:r>
        <w:t>R</w:t>
      </w:r>
      <w:r w:rsidRPr="00161B4C">
        <w:t xml:space="preserve">epealed most of the 1968 Caravan Sites Act;  </w:t>
      </w:r>
    </w:p>
    <w:p w14:paraId="72E35026" w14:textId="77777777" w:rsidR="00161B4C" w:rsidRPr="00161B4C" w:rsidRDefault="00161B4C" w:rsidP="00161B4C">
      <w:pPr>
        <w:pStyle w:val="bullet"/>
      </w:pPr>
      <w:r w:rsidRPr="00161B4C">
        <w:t>Abolished all statutory obligation to provide accommodation;</w:t>
      </w:r>
    </w:p>
    <w:p w14:paraId="1586C4DB" w14:textId="77777777" w:rsidR="00161B4C" w:rsidRPr="00161B4C" w:rsidRDefault="00161B4C" w:rsidP="00161B4C">
      <w:pPr>
        <w:pStyle w:val="bullet"/>
      </w:pPr>
      <w:r w:rsidRPr="00161B4C">
        <w:t xml:space="preserve">Discontinued government grants for sites; and </w:t>
      </w:r>
    </w:p>
    <w:p w14:paraId="6E3AD38E" w14:textId="77777777" w:rsidR="00161B4C" w:rsidRPr="00161B4C" w:rsidRDefault="00161B4C" w:rsidP="00161B4C">
      <w:pPr>
        <w:pStyle w:val="bullet"/>
      </w:pPr>
      <w:r w:rsidRPr="00161B4C">
        <w:t xml:space="preserve">Under Section 61 made it a criminal offence to camp on land without the owner’s consent.  </w:t>
      </w:r>
    </w:p>
    <w:p w14:paraId="2A410970" w14:textId="61D2F229" w:rsidR="007525B2" w:rsidRPr="00161B4C" w:rsidRDefault="007525B2" w:rsidP="00161B4C">
      <w:pPr>
        <w:numPr>
          <w:ilvl w:val="1"/>
          <w:numId w:val="20"/>
        </w:numPr>
        <w:rPr>
          <w:rFonts w:cs="Arial"/>
        </w:rPr>
      </w:pPr>
      <w:r>
        <w:t>Since the CJ&amp;POA the only places where Gypsies and Travellers can legally park their trailers and vehicles are:</w:t>
      </w:r>
    </w:p>
    <w:p w14:paraId="2E4F13E9" w14:textId="77777777" w:rsidR="00161B4C" w:rsidRPr="00161B4C" w:rsidRDefault="00161B4C" w:rsidP="00161B4C">
      <w:pPr>
        <w:pStyle w:val="bullet"/>
      </w:pPr>
      <w:r w:rsidRPr="00161B4C">
        <w:t>Council Gypsy caravan sites; by 2000 nearly half of Gypsy caravans were accommodated on council sites, despite the fact that new council site provision stopped following the end of the statutory duty;</w:t>
      </w:r>
    </w:p>
    <w:p w14:paraId="2ABB8B44" w14:textId="77777777" w:rsidR="00161B4C" w:rsidRPr="00161B4C" w:rsidRDefault="00161B4C" w:rsidP="00161B4C">
      <w:pPr>
        <w:pStyle w:val="bullet"/>
      </w:pPr>
      <w:r w:rsidRPr="00161B4C">
        <w:t>Privately owned land with appropriate planning permission; usually owned by Gypsies or Travellers. Such provision now accommodates approximately a third of Gypsy caravans in England; and</w:t>
      </w:r>
    </w:p>
    <w:p w14:paraId="77DA7D53" w14:textId="77777777" w:rsidR="00161B4C" w:rsidRPr="00161B4C" w:rsidRDefault="00161B4C" w:rsidP="00161B4C">
      <w:pPr>
        <w:pStyle w:val="bullet"/>
      </w:pPr>
      <w:r w:rsidRPr="00161B4C">
        <w:t>Land with established rights of use, other caravan sites or mobile home parks by agreement or licence, and land required for seasonal farm workers (under site licensing exemptions).</w:t>
      </w:r>
    </w:p>
    <w:p w14:paraId="47EF7C76" w14:textId="77777777" w:rsidR="007525B2" w:rsidRPr="00161B4C" w:rsidRDefault="007525B2" w:rsidP="00161B4C">
      <w:pPr>
        <w:numPr>
          <w:ilvl w:val="1"/>
          <w:numId w:val="20"/>
        </w:numPr>
        <w:rPr>
          <w:rFonts w:cs="Arial"/>
        </w:rPr>
      </w:pPr>
      <w:r w:rsidRPr="00161B4C">
        <w:rPr>
          <w:rFonts w:cs="Arial"/>
        </w:rPr>
        <w:t>By the late 1990s the impact of the 1994 Act was generating pressure for change on both local and national government. There was a major review of law and policy, which included:</w:t>
      </w:r>
    </w:p>
    <w:p w14:paraId="4986A4AA" w14:textId="77777777" w:rsidR="007525B2" w:rsidRDefault="007525B2" w:rsidP="007525B2">
      <w:pPr>
        <w:pStyle w:val="bullet"/>
      </w:pPr>
      <w:r>
        <w:t>A Parliamentary Committee report (House of Commons 2004).</w:t>
      </w:r>
    </w:p>
    <w:p w14:paraId="4D67F9E1" w14:textId="77777777" w:rsidR="007525B2" w:rsidRDefault="007525B2" w:rsidP="007525B2">
      <w:pPr>
        <w:pStyle w:val="bullet"/>
      </w:pPr>
      <w:r>
        <w:t xml:space="preserve">The replacement of Circular 1/94 by Circular 1/2006 (which has since been cancelled and replaced by the </w:t>
      </w:r>
      <w:r w:rsidRPr="00437D2A">
        <w:rPr>
          <w:i/>
        </w:rPr>
        <w:t>Planning policy for traveller sites</w:t>
      </w:r>
      <w:r>
        <w:t xml:space="preserve"> 2012 and updated in 2015).</w:t>
      </w:r>
    </w:p>
    <w:p w14:paraId="28EA0AB3" w14:textId="77777777" w:rsidR="007525B2" w:rsidRDefault="007525B2" w:rsidP="007525B2">
      <w:pPr>
        <w:pStyle w:val="bullet"/>
      </w:pPr>
      <w:r>
        <w:t>Guidance on accommodation assessments (ODPM 2006).</w:t>
      </w:r>
    </w:p>
    <w:p w14:paraId="35A94653" w14:textId="77777777" w:rsidR="007525B2" w:rsidRDefault="007525B2" w:rsidP="007525B2">
      <w:pPr>
        <w:pStyle w:val="bullet"/>
      </w:pPr>
      <w:r>
        <w:t>The Housing Act 2004 which placed a requirement (s.225) on local authorities to assess Gypsy and Traveller accommodation needs.</w:t>
      </w:r>
    </w:p>
    <w:p w14:paraId="39FBBB10" w14:textId="77777777" w:rsidR="007525B2" w:rsidRDefault="007525B2" w:rsidP="008F0D87">
      <w:pPr>
        <w:numPr>
          <w:ilvl w:val="1"/>
          <w:numId w:val="20"/>
        </w:numPr>
        <w:rPr>
          <w:rFonts w:cs="Arial"/>
        </w:rPr>
      </w:pPr>
      <w:r>
        <w:rPr>
          <w:rFonts w:cs="Arial"/>
          <w:b/>
          <w:bCs/>
        </w:rPr>
        <w:t>Section 225</w:t>
      </w:r>
      <w:r>
        <w:rPr>
          <w:rFonts w:cs="Arial"/>
          <w:b/>
        </w:rPr>
        <w:t>: Housing Act 2004</w:t>
      </w:r>
      <w:r>
        <w:rPr>
          <w:rFonts w:cs="Arial"/>
        </w:rPr>
        <w:t xml:space="preserve"> imposed duties on local authorities in relation to the accommodation needs of Gypsies and Travellers:</w:t>
      </w:r>
    </w:p>
    <w:p w14:paraId="094437A6" w14:textId="094CCCD3" w:rsidR="007525B2" w:rsidRDefault="007525B2" w:rsidP="007525B2">
      <w:pPr>
        <w:pStyle w:val="bullet"/>
      </w:pPr>
      <w:r>
        <w:t xml:space="preserve">Every local housing authority was required as part of the general review of housing needs in their areas under section 8 of the Housing Act 1985 assess the accommodation needs of Gypsies and Travellers residing in or resorting to their </w:t>
      </w:r>
      <w:r w:rsidR="00473EAA">
        <w:t>District</w:t>
      </w:r>
      <w:r>
        <w:t>;</w:t>
      </w:r>
    </w:p>
    <w:p w14:paraId="19177ED3" w14:textId="77777777" w:rsidR="007525B2" w:rsidRDefault="007525B2" w:rsidP="007525B2">
      <w:pPr>
        <w:pStyle w:val="bullet"/>
      </w:pPr>
      <w:r>
        <w:t>Where a local housing authority was required under section 87 of the Local Government Act 2003 to prepare a strategy to meet such accommodation needs, they had to take the strategy into account in exercising their functions;</w:t>
      </w:r>
    </w:p>
    <w:p w14:paraId="35691BE0" w14:textId="77777777" w:rsidR="007525B2" w:rsidRDefault="007525B2" w:rsidP="007525B2">
      <w:pPr>
        <w:pStyle w:val="bullet"/>
      </w:pPr>
      <w:r>
        <w:t xml:space="preserve">A local housing authority was required to have regard to section 226 (‘Guidance in relation to section 225’) in:  </w:t>
      </w:r>
    </w:p>
    <w:p w14:paraId="1C5F3532" w14:textId="77777777" w:rsidR="007525B2" w:rsidRDefault="007525B2" w:rsidP="007525B2">
      <w:pPr>
        <w:pStyle w:val="bulletlevel2"/>
      </w:pPr>
      <w:r>
        <w:t>carrying out such an assessment, and</w:t>
      </w:r>
    </w:p>
    <w:p w14:paraId="0B888A52" w14:textId="77777777" w:rsidR="007525B2" w:rsidRDefault="007525B2" w:rsidP="007525B2">
      <w:pPr>
        <w:pStyle w:val="bulletlevel2"/>
      </w:pPr>
      <w:r>
        <w:t>preparing any strategy that they are required to prepare.</w:t>
      </w:r>
    </w:p>
    <w:p w14:paraId="102F2663" w14:textId="77777777" w:rsidR="007525B2" w:rsidRPr="00946F10" w:rsidRDefault="007525B2" w:rsidP="007525B2">
      <w:pPr>
        <w:pStyle w:val="bullet"/>
      </w:pPr>
      <w:r w:rsidRPr="00946F10">
        <w:t>Section 124 of the Housing and Planning Act 2016 deletes sections 225 and 226 of the Housing Act 2004 (see below). Additional requirements have been inserted into Section 8 of the Housing Act 1985 to include an assessment of the need for sites for caravans and moorings for houseboats within the periodical review of housing needs.</w:t>
      </w:r>
    </w:p>
    <w:p w14:paraId="7BE05916" w14:textId="77777777" w:rsidR="007525B2" w:rsidRDefault="007525B2" w:rsidP="008F0D87">
      <w:pPr>
        <w:numPr>
          <w:ilvl w:val="1"/>
          <w:numId w:val="20"/>
        </w:numPr>
        <w:rPr>
          <w:rFonts w:cs="Arial"/>
        </w:rPr>
      </w:pPr>
      <w:r w:rsidRPr="00946F10">
        <w:rPr>
          <w:rFonts w:cs="Arial"/>
        </w:rPr>
        <w:t>The</w:t>
      </w:r>
      <w:r w:rsidRPr="00946F10">
        <w:rPr>
          <w:rFonts w:cs="Arial"/>
          <w:b/>
        </w:rPr>
        <w:t xml:space="preserve"> Planning and Compulsory Purchase Act 2004</w:t>
      </w:r>
      <w:r w:rsidRPr="00946F10">
        <w:rPr>
          <w:rFonts w:cs="Arial"/>
        </w:rPr>
        <w:t xml:space="preserve"> set out to introduce a simpler and more flexible planning system at regional and local levels. It also introduced new provisions which change the duration of planning permissions</w:t>
      </w:r>
      <w:r>
        <w:rPr>
          <w:rFonts w:cs="Arial"/>
        </w:rPr>
        <w:t xml:space="preserve"> and consents, and allow local planning authorities to introduce local permitted development rights using ‘local development orders’. It made the compulsory purchase regime simpler, fairer and quicker, to support major infrastructure and regeneration initiatives.</w:t>
      </w:r>
    </w:p>
    <w:p w14:paraId="68C698E0" w14:textId="77777777" w:rsidR="007525B2" w:rsidRDefault="007525B2" w:rsidP="007525B2">
      <w:pPr>
        <w:ind w:left="709"/>
        <w:rPr>
          <w:rFonts w:cs="Arial"/>
          <w:b/>
        </w:rPr>
      </w:pPr>
      <w:r>
        <w:rPr>
          <w:rFonts w:cs="Arial"/>
        </w:rPr>
        <w:t xml:space="preserve">The Act introduced major changes to the way in which the planning system operates. Local planning authorities are required to prepare a Local Development Framework; however, the term Local Plan was reintroduced following the National Planning Policy Framework in March 2012. </w:t>
      </w:r>
    </w:p>
    <w:p w14:paraId="25E3BB31" w14:textId="77777777" w:rsidR="007525B2" w:rsidRDefault="007525B2" w:rsidP="007525B2">
      <w:pPr>
        <w:ind w:left="709"/>
        <w:rPr>
          <w:rFonts w:cs="Arial"/>
        </w:rPr>
      </w:pPr>
      <w:r>
        <w:rPr>
          <w:rFonts w:cs="Arial"/>
        </w:rPr>
        <w:t>Part 8 of the Act contains a series of measures to reform the compulsory purchase regime and make it easier for local planning authorities to make a case for compulsory purchase orders where it will be of economic, social or environmental benefit to the area. This Act was subsequently amended to a Local Plan document with the introduction of the NPPF in March 2012. This section also brings in amended procedures for carrying out compulsory purchase orders, including a widening of the category of person with an interest in the land who can object, and deals with ownership issues and compensation.</w:t>
      </w:r>
    </w:p>
    <w:p w14:paraId="2C911D45" w14:textId="77777777" w:rsidR="007525B2" w:rsidRDefault="007525B2" w:rsidP="008F0D87">
      <w:pPr>
        <w:numPr>
          <w:ilvl w:val="1"/>
          <w:numId w:val="20"/>
        </w:numPr>
        <w:rPr>
          <w:rFonts w:cs="Arial"/>
        </w:rPr>
      </w:pPr>
      <w:r>
        <w:rPr>
          <w:rFonts w:cs="Arial"/>
          <w:b/>
        </w:rPr>
        <w:t>The Localism Act 2011</w:t>
      </w:r>
      <w:r>
        <w:rPr>
          <w:rFonts w:cs="Arial"/>
        </w:rPr>
        <w:t xml:space="preserve"> introduced a number of reforms, including changes to planning enforcement rules, which strengthen the power of local planning authorities to tackle abuses of the planning system. The changes give local planning authorities the ability to take actions against people who deliberately conceal unauthorised development, and tackle abuses of retrospective planning applications.  The Act also introduced the Duty to Co-operate (see Section 3) on all local planning authorities planning sustainable development. The Duty requires </w:t>
      </w:r>
      <w:r>
        <w:rPr>
          <w:rFonts w:cs="Arial"/>
          <w:i/>
        </w:rPr>
        <w:t>‘neighbouring local authorities, or groups of authorities, to work together on planning issues in the interests of all their local residents. … the Government thinks that local authorities and other public bodies should work together on planning issues in ways that reflect genuine shared interests and opportunities to make common cause. The duty requires local authorities and other public bodies to work together on planning issues.’</w:t>
      </w:r>
      <w:r>
        <w:rPr>
          <w:rStyle w:val="FootnoteReference"/>
          <w:rFonts w:cs="Arial"/>
          <w:i/>
        </w:rPr>
        <w:footnoteReference w:id="28"/>
      </w:r>
      <w:r>
        <w:rPr>
          <w:rFonts w:cs="Arial"/>
          <w:i/>
        </w:rPr>
        <w:t xml:space="preserve"> </w:t>
      </w:r>
      <w:r>
        <w:rPr>
          <w:rFonts w:cs="Arial"/>
        </w:rPr>
        <w:t xml:space="preserve">The provision of Gypsy and Traveller sites falls within the Duty to Co-operate; which aims to ensure that neighbouring authorities work together to address issues such as provision of sites for Gypsies and Travellers in a planned and strategic way. </w:t>
      </w:r>
    </w:p>
    <w:p w14:paraId="561CAB12" w14:textId="77777777" w:rsidR="007525B2" w:rsidRPr="00946F10" w:rsidRDefault="007525B2" w:rsidP="008F0D87">
      <w:pPr>
        <w:numPr>
          <w:ilvl w:val="1"/>
          <w:numId w:val="20"/>
        </w:numPr>
        <w:rPr>
          <w:rFonts w:cs="Arial"/>
        </w:rPr>
      </w:pPr>
      <w:r>
        <w:rPr>
          <w:rFonts w:cs="Arial"/>
          <w:b/>
        </w:rPr>
        <w:t xml:space="preserve">Statutory Instrument 2013 No 830 Town and Country planning Act, England (Temporary Stop Notice) (England) (Revocation) Regulations 2013 </w:t>
      </w:r>
      <w:r>
        <w:rPr>
          <w:rFonts w:cs="Arial"/>
        </w:rPr>
        <w:t>came into force on 4</w:t>
      </w:r>
      <w:r>
        <w:rPr>
          <w:rFonts w:cs="Arial"/>
          <w:vertAlign w:val="superscript"/>
        </w:rPr>
        <w:t>th</w:t>
      </w:r>
      <w:r>
        <w:rPr>
          <w:rFonts w:cs="Arial"/>
        </w:rPr>
        <w:t xml:space="preserve"> May 2013. This Instrument revoked the regulations governing Temporary Stop Notices, which were in place to mitigate against the disproportionate impact of Temporary Stop Notices on Gypsies and Travellers in </w:t>
      </w:r>
      <w:r w:rsidRPr="00946F10">
        <w:rPr>
          <w:rFonts w:cs="Arial"/>
        </w:rPr>
        <w:t xml:space="preserve">areas where there was a lack of sufficient pitches to meet the needs of the Travelling community. </w:t>
      </w:r>
    </w:p>
    <w:p w14:paraId="24DBA490" w14:textId="77777777" w:rsidR="007525B2" w:rsidRPr="00946F10" w:rsidRDefault="007525B2" w:rsidP="0014458C">
      <w:pPr>
        <w:pStyle w:val="Reporttext"/>
        <w:numPr>
          <w:ilvl w:val="1"/>
          <w:numId w:val="20"/>
        </w:numPr>
      </w:pPr>
      <w:r w:rsidRPr="00946F10">
        <w:t>Section 124: Housing and Planning Act 2016 has two parts:</w:t>
      </w:r>
    </w:p>
    <w:p w14:paraId="1944E5AE" w14:textId="3387EEE7" w:rsidR="007525B2" w:rsidRPr="00946F10" w:rsidRDefault="007525B2" w:rsidP="007525B2">
      <w:pPr>
        <w:pStyle w:val="bullet"/>
      </w:pPr>
      <w:r w:rsidRPr="00946F10">
        <w:t xml:space="preserve">124(1) amends section 8 of the Housing Act 1985, inserting an additional reference to include a duty to consider the needs of people residing in or resorting to local authority </w:t>
      </w:r>
      <w:r w:rsidR="001A1A0F">
        <w:t>Cit</w:t>
      </w:r>
      <w:r w:rsidR="008C63BD">
        <w:t>ies</w:t>
      </w:r>
      <w:r w:rsidRPr="00946F10">
        <w:t xml:space="preserve"> with respect to the provision of sites for caravans and moorings for houseboats when undertaking housing needs assessments. </w:t>
      </w:r>
    </w:p>
    <w:p w14:paraId="032C14FD" w14:textId="77777777" w:rsidR="007525B2" w:rsidRPr="00946F10" w:rsidRDefault="007525B2" w:rsidP="007525B2">
      <w:pPr>
        <w:pStyle w:val="bullet"/>
      </w:pPr>
      <w:r w:rsidRPr="00946F10">
        <w:t>124(2) deletes sections 225 and 226 of the Housing Act 2004 (as set out above).</w:t>
      </w:r>
    </w:p>
    <w:p w14:paraId="4D2DDA0B" w14:textId="3FC58A36" w:rsidR="007525B2" w:rsidRDefault="007525B2" w:rsidP="0014458C">
      <w:pPr>
        <w:pStyle w:val="Heading1"/>
        <w:numPr>
          <w:ilvl w:val="0"/>
          <w:numId w:val="0"/>
        </w:numPr>
      </w:pPr>
      <w:r>
        <w:rPr>
          <w:rFonts w:cs="Arial"/>
        </w:rPr>
        <w:br w:type="page"/>
      </w:r>
      <w:bookmarkStart w:id="328" w:name="_Toc417995986"/>
      <w:bookmarkStart w:id="329" w:name="_Toc375313649"/>
      <w:bookmarkStart w:id="330" w:name="_Toc371414637"/>
      <w:bookmarkStart w:id="331" w:name="_Toc457575083"/>
      <w:bookmarkStart w:id="332" w:name="_Toc459646260"/>
      <w:bookmarkStart w:id="333" w:name="_Toc477256966"/>
      <w:bookmarkStart w:id="334" w:name="_Toc485383271"/>
      <w:bookmarkStart w:id="335" w:name="_Toc510091990"/>
      <w:bookmarkStart w:id="336" w:name="_Toc13845504"/>
      <w:bookmarkEnd w:id="323"/>
      <w:bookmarkEnd w:id="324"/>
      <w:r>
        <w:t>Appendix B:</w:t>
      </w:r>
      <w:r w:rsidR="00DD79AD">
        <w:t xml:space="preserve"> </w:t>
      </w:r>
      <w:r>
        <w:t xml:space="preserve"> </w:t>
      </w:r>
      <w:bookmarkEnd w:id="328"/>
      <w:bookmarkEnd w:id="329"/>
      <w:bookmarkEnd w:id="330"/>
      <w:bookmarkEnd w:id="331"/>
      <w:r w:rsidR="007D09A9">
        <w:t>R</w:t>
      </w:r>
      <w:r>
        <w:t>eview</w:t>
      </w:r>
      <w:bookmarkEnd w:id="332"/>
      <w:bookmarkEnd w:id="333"/>
      <w:bookmarkEnd w:id="334"/>
      <w:r w:rsidR="007D09A9">
        <w:t xml:space="preserve"> of policy, guidance and best practice</w:t>
      </w:r>
      <w:bookmarkEnd w:id="335"/>
      <w:bookmarkEnd w:id="336"/>
    </w:p>
    <w:p w14:paraId="18541FAC" w14:textId="77777777" w:rsidR="00DD79AD" w:rsidRPr="00DD79AD" w:rsidRDefault="00DD79AD" w:rsidP="00DD79AD"/>
    <w:p w14:paraId="7312B14F" w14:textId="77777777" w:rsidR="007525B2" w:rsidRDefault="007525B2" w:rsidP="00CF5F7C">
      <w:pPr>
        <w:numPr>
          <w:ilvl w:val="1"/>
          <w:numId w:val="22"/>
        </w:numPr>
        <w:rPr>
          <w:rFonts w:cs="Arial"/>
          <w:b/>
        </w:rPr>
      </w:pPr>
      <w:r>
        <w:rPr>
          <w:rFonts w:cs="Arial"/>
        </w:rPr>
        <w:t>As part of this research, we have carried out a review of literature, which is presented in this Appendix. A considerable range of guidance documents has been prepared by Central Government to assist local authorities discharge their strategic housing and planning functions. In addition, there is considerable independent and academic research and guidance on these issues; some of the key documents are summarised here. The documents are reviewed in order of publication date.</w:t>
      </w:r>
    </w:p>
    <w:p w14:paraId="2F292853" w14:textId="77777777" w:rsidR="007525B2" w:rsidRDefault="007525B2" w:rsidP="00CF5F7C">
      <w:pPr>
        <w:keepNext/>
        <w:numPr>
          <w:ilvl w:val="1"/>
          <w:numId w:val="22"/>
        </w:numPr>
        <w:rPr>
          <w:b/>
          <w:bCs/>
          <w:lang w:eastAsia="en-GB"/>
        </w:rPr>
      </w:pPr>
      <w:r>
        <w:rPr>
          <w:b/>
          <w:bCs/>
          <w:lang w:eastAsia="en-GB"/>
        </w:rPr>
        <w:t>A Decent Home: Definition and Guidance for Implementation Update, DCLG, June 2006</w:t>
      </w:r>
    </w:p>
    <w:p w14:paraId="58FCBF1C" w14:textId="77777777" w:rsidR="007525B2" w:rsidRDefault="007525B2" w:rsidP="007525B2">
      <w:pPr>
        <w:ind w:left="709"/>
        <w:rPr>
          <w:b/>
          <w:bCs/>
          <w:lang w:eastAsia="en-GB"/>
        </w:rPr>
      </w:pPr>
      <w:r>
        <w:rPr>
          <w:lang w:eastAsia="en-GB"/>
        </w:rPr>
        <w:t>Although not primarily about the provision of caravan sites, facilities or pitches, the June 2006 updated DCLG guidance for social landlords provides a standard for such provision. The guidance is set out under a number of key headings:</w:t>
      </w:r>
    </w:p>
    <w:p w14:paraId="733C6F88" w14:textId="77777777" w:rsidR="007525B2" w:rsidRDefault="007525B2" w:rsidP="007525B2">
      <w:pPr>
        <w:numPr>
          <w:ilvl w:val="0"/>
          <w:numId w:val="9"/>
        </w:numPr>
      </w:pPr>
      <w:r>
        <w:t>Community-based and tenant-led ownership and management;</w:t>
      </w:r>
    </w:p>
    <w:p w14:paraId="708FB6DB" w14:textId="77777777" w:rsidR="007525B2" w:rsidRDefault="007525B2" w:rsidP="007525B2">
      <w:pPr>
        <w:numPr>
          <w:ilvl w:val="0"/>
          <w:numId w:val="9"/>
        </w:numPr>
      </w:pPr>
      <w:r>
        <w:t>Delivering Decent Homes Beyond 2010;</w:t>
      </w:r>
    </w:p>
    <w:p w14:paraId="5466D28A" w14:textId="77777777" w:rsidR="007525B2" w:rsidRDefault="007525B2" w:rsidP="007525B2">
      <w:pPr>
        <w:numPr>
          <w:ilvl w:val="0"/>
          <w:numId w:val="9"/>
        </w:numPr>
      </w:pPr>
      <w:r>
        <w:t>Delivering mixed communities;</w:t>
      </w:r>
    </w:p>
    <w:p w14:paraId="07A7D007" w14:textId="77777777" w:rsidR="007525B2" w:rsidRDefault="007525B2" w:rsidP="007525B2">
      <w:pPr>
        <w:numPr>
          <w:ilvl w:val="0"/>
          <w:numId w:val="9"/>
        </w:numPr>
      </w:pPr>
      <w:r>
        <w:t>Procurement value for money; and</w:t>
      </w:r>
    </w:p>
    <w:p w14:paraId="4BE4527E" w14:textId="77777777" w:rsidR="007525B2" w:rsidRDefault="007525B2" w:rsidP="007525B2">
      <w:pPr>
        <w:numPr>
          <w:ilvl w:val="0"/>
          <w:numId w:val="9"/>
        </w:numPr>
      </w:pPr>
      <w:r>
        <w:t>Housing Health and Safety.</w:t>
      </w:r>
    </w:p>
    <w:p w14:paraId="113D7D39" w14:textId="77777777" w:rsidR="007525B2" w:rsidRDefault="007525B2" w:rsidP="007525B2">
      <w:pPr>
        <w:tabs>
          <w:tab w:val="num" w:pos="709"/>
        </w:tabs>
        <w:ind w:left="720"/>
        <w:rPr>
          <w:lang w:eastAsia="en-GB"/>
        </w:rPr>
      </w:pPr>
      <w:r>
        <w:rPr>
          <w:lang w:eastAsia="en-GB"/>
        </w:rPr>
        <w:t>The guidance defines four criteria against which to measure the standard of a home:</w:t>
      </w:r>
    </w:p>
    <w:p w14:paraId="7EF9B830" w14:textId="77777777" w:rsidR="007525B2" w:rsidRDefault="007525B2" w:rsidP="007525B2">
      <w:pPr>
        <w:numPr>
          <w:ilvl w:val="0"/>
          <w:numId w:val="9"/>
        </w:numPr>
      </w:pPr>
      <w:r>
        <w:t>It meets the current statutory minimum standard for housing;</w:t>
      </w:r>
    </w:p>
    <w:p w14:paraId="4D1C0A63" w14:textId="77777777" w:rsidR="007525B2" w:rsidRDefault="007525B2" w:rsidP="007525B2">
      <w:pPr>
        <w:numPr>
          <w:ilvl w:val="0"/>
          <w:numId w:val="9"/>
        </w:numPr>
      </w:pPr>
      <w:r>
        <w:t>It is in a reasonable state of repair;</w:t>
      </w:r>
    </w:p>
    <w:p w14:paraId="47C76908" w14:textId="77777777" w:rsidR="007525B2" w:rsidRDefault="007525B2" w:rsidP="007525B2">
      <w:pPr>
        <w:numPr>
          <w:ilvl w:val="0"/>
          <w:numId w:val="9"/>
        </w:numPr>
      </w:pPr>
      <w:r>
        <w:t>It has reasonably modern facilities and services; and</w:t>
      </w:r>
    </w:p>
    <w:p w14:paraId="4815356B" w14:textId="77777777" w:rsidR="007525B2" w:rsidRDefault="007525B2" w:rsidP="007525B2">
      <w:pPr>
        <w:numPr>
          <w:ilvl w:val="0"/>
          <w:numId w:val="9"/>
        </w:numPr>
      </w:pPr>
      <w:r>
        <w:t>It provides a reasonable degree of thermal comfort.</w:t>
      </w:r>
    </w:p>
    <w:p w14:paraId="70AF17B8" w14:textId="77777777" w:rsidR="007525B2" w:rsidRDefault="007525B2" w:rsidP="00CF5F7C">
      <w:pPr>
        <w:keepNext/>
        <w:numPr>
          <w:ilvl w:val="1"/>
          <w:numId w:val="22"/>
        </w:numPr>
        <w:rPr>
          <w:b/>
          <w:bCs/>
          <w:lang w:eastAsia="en-GB"/>
        </w:rPr>
      </w:pPr>
      <w:r>
        <w:rPr>
          <w:b/>
          <w:bCs/>
          <w:lang w:eastAsia="en-GB"/>
        </w:rPr>
        <w:t>Guide to Effective Use of Enforcement Powers - Parts 1 (Unauthorised Encampments, ODPM, 2006) and 2 (Unauthorised Development of Caravan Sites, DCLG, 2007)</w:t>
      </w:r>
    </w:p>
    <w:p w14:paraId="2FC8FB0C" w14:textId="16F6FC39" w:rsidR="007525B2" w:rsidRDefault="007525B2" w:rsidP="007D09A9">
      <w:pPr>
        <w:tabs>
          <w:tab w:val="num" w:pos="709"/>
        </w:tabs>
        <w:ind w:left="709"/>
        <w:rPr>
          <w:lang w:eastAsia="en-GB"/>
        </w:rPr>
      </w:pPr>
      <w:r>
        <w:rPr>
          <w:lang w:eastAsia="en-GB"/>
        </w:rPr>
        <w:t>The Guide (now cancelled) was the Government's response to unauthorised encampments which cause local disruption and conflict.</w:t>
      </w:r>
    </w:p>
    <w:p w14:paraId="4C53B774" w14:textId="77777777" w:rsidR="007525B2" w:rsidRDefault="007525B2" w:rsidP="00CF5F7C">
      <w:pPr>
        <w:keepNext/>
        <w:numPr>
          <w:ilvl w:val="1"/>
          <w:numId w:val="22"/>
        </w:numPr>
        <w:rPr>
          <w:b/>
          <w:bCs/>
          <w:lang w:eastAsia="en-GB"/>
        </w:rPr>
      </w:pPr>
      <w:r>
        <w:rPr>
          <w:b/>
          <w:bCs/>
          <w:lang w:eastAsia="en-GB"/>
        </w:rPr>
        <w:t>Common Ground: Equality, good race relations and sites for Gypsies and Irish Travellers, Commission for Racial Equality, May 2006</w:t>
      </w:r>
    </w:p>
    <w:p w14:paraId="42B1AA8B" w14:textId="77777777" w:rsidR="007525B2" w:rsidRDefault="007525B2" w:rsidP="007525B2">
      <w:pPr>
        <w:tabs>
          <w:tab w:val="num" w:pos="709"/>
        </w:tabs>
        <w:ind w:left="709"/>
        <w:rPr>
          <w:lang w:eastAsia="en-GB"/>
        </w:rPr>
      </w:pPr>
      <w:r>
        <w:rPr>
          <w:lang w:eastAsia="en-GB"/>
        </w:rPr>
        <w:t>This report was written four years after the introduction of the statutory duty on public authorities under the Race Relations (Amendment) Act to promote equality of opportunity and good race relations and to eliminate unlawful racial discrimination. The CRE expressed concerns about relations between Gypsies and Irish Travellers and other members of the public, with widespread public hostility and, in many places, Gypsies and Irish Travellers leading separate, parallel lives. A dual concern about race relations and inequality led the Commission in October 2004 to launch the inquiry on which this report was based.</w:t>
      </w:r>
    </w:p>
    <w:p w14:paraId="34E86253" w14:textId="77777777" w:rsidR="007525B2" w:rsidRDefault="007525B2" w:rsidP="007525B2">
      <w:pPr>
        <w:tabs>
          <w:tab w:val="num" w:pos="709"/>
        </w:tabs>
        <w:ind w:left="709"/>
        <w:rPr>
          <w:lang w:eastAsia="en-GB"/>
        </w:rPr>
      </w:pPr>
      <w:r>
        <w:rPr>
          <w:lang w:eastAsia="en-GB"/>
        </w:rPr>
        <w:t>The Report's recommendations include measures relating to Central Government, local authorities, police forces and the voluntary sector. Among those relating to Central Government are:</w:t>
      </w:r>
    </w:p>
    <w:p w14:paraId="5210DD19" w14:textId="77777777" w:rsidR="007525B2" w:rsidRDefault="007525B2" w:rsidP="007525B2">
      <w:pPr>
        <w:numPr>
          <w:ilvl w:val="0"/>
          <w:numId w:val="9"/>
        </w:numPr>
      </w:pPr>
      <w:r>
        <w:t>developing a realistic but ambitious timetable to identify land for sites, where necessary establishing them, and making sure it is met;</w:t>
      </w:r>
    </w:p>
    <w:p w14:paraId="6BFEE4D7" w14:textId="77777777" w:rsidR="007525B2" w:rsidRDefault="007525B2" w:rsidP="007525B2">
      <w:pPr>
        <w:numPr>
          <w:ilvl w:val="0"/>
          <w:numId w:val="9"/>
        </w:numPr>
      </w:pPr>
      <w:r>
        <w:t>developing key performance indicators for public sites which set standards for quality and management that are comparable to those for conventional accommodation;</w:t>
      </w:r>
    </w:p>
    <w:p w14:paraId="2C9E075D" w14:textId="77777777" w:rsidR="007525B2" w:rsidRDefault="007525B2" w:rsidP="007525B2">
      <w:pPr>
        <w:numPr>
          <w:ilvl w:val="0"/>
          <w:numId w:val="9"/>
        </w:numPr>
      </w:pPr>
      <w:r>
        <w:t>requiring local authorities to monitor and provide data on planning applications, outcomes and enforcement, and on housing and homelessness by racial group, using two separate categories for Gypsies and Irish Travellers; and</w:t>
      </w:r>
    </w:p>
    <w:p w14:paraId="458D4CFB" w14:textId="77777777" w:rsidR="007525B2" w:rsidRDefault="007525B2" w:rsidP="007525B2">
      <w:pPr>
        <w:numPr>
          <w:ilvl w:val="0"/>
          <w:numId w:val="9"/>
        </w:numPr>
      </w:pPr>
      <w:r>
        <w:t>requiring police forces to collect information on Gypsies and Irish Travellers as two separate ethnic categories.</w:t>
      </w:r>
    </w:p>
    <w:p w14:paraId="58CF1CFD" w14:textId="77777777" w:rsidR="007525B2" w:rsidRDefault="007525B2" w:rsidP="007525B2">
      <w:pPr>
        <w:tabs>
          <w:tab w:val="num" w:pos="709"/>
        </w:tabs>
        <w:ind w:left="720"/>
        <w:rPr>
          <w:lang w:eastAsia="en-GB"/>
        </w:rPr>
      </w:pPr>
      <w:r>
        <w:rPr>
          <w:lang w:eastAsia="en-GB"/>
        </w:rPr>
        <w:t>Strategic recommendations affecting local authorities include:</w:t>
      </w:r>
    </w:p>
    <w:p w14:paraId="1C97EDA7" w14:textId="77777777" w:rsidR="007525B2" w:rsidRDefault="007525B2" w:rsidP="007525B2">
      <w:pPr>
        <w:numPr>
          <w:ilvl w:val="0"/>
          <w:numId w:val="9"/>
        </w:numPr>
      </w:pPr>
      <w:r>
        <w:t xml:space="preserve">developing a holistic corporate vision for all work on Gypsies and Irish Travellers, </w:t>
      </w:r>
    </w:p>
    <w:p w14:paraId="0B84EE0C" w14:textId="77777777" w:rsidR="007525B2" w:rsidRDefault="007525B2" w:rsidP="007525B2">
      <w:pPr>
        <w:numPr>
          <w:ilvl w:val="0"/>
          <w:numId w:val="9"/>
        </w:numPr>
      </w:pPr>
      <w:r>
        <w:t>reviewing all policies on accommodation for Gypsies and Irish Travellers,</w:t>
      </w:r>
    </w:p>
    <w:p w14:paraId="05ACF5B0" w14:textId="77777777" w:rsidR="007525B2" w:rsidRDefault="007525B2" w:rsidP="007525B2">
      <w:pPr>
        <w:numPr>
          <w:ilvl w:val="0"/>
          <w:numId w:val="9"/>
        </w:numPr>
      </w:pPr>
      <w:r>
        <w:t xml:space="preserve">designating a councillor at cabinet (or equivalent) level, and an officer at no less than assistant director level, to coordinate the authority’s work on all sites; </w:t>
      </w:r>
    </w:p>
    <w:p w14:paraId="575A24AC" w14:textId="77777777" w:rsidR="007525B2" w:rsidRDefault="007525B2" w:rsidP="007525B2">
      <w:pPr>
        <w:numPr>
          <w:ilvl w:val="0"/>
          <w:numId w:val="9"/>
        </w:numPr>
      </w:pPr>
      <w:r>
        <w:t xml:space="preserve">emphasising that the code of conduct for councillors applies to their work in relation to all racial groups, including Gypsies and Irish Travellers; </w:t>
      </w:r>
    </w:p>
    <w:p w14:paraId="383DBC1E" w14:textId="77777777" w:rsidR="007525B2" w:rsidRDefault="007525B2" w:rsidP="007525B2">
      <w:pPr>
        <w:numPr>
          <w:ilvl w:val="0"/>
          <w:numId w:val="9"/>
        </w:numPr>
      </w:pPr>
      <w:r>
        <w:t>giving specific advice to Gypsies and Irish Travellers on the most suitable land for residential use, how to prepare applications, and help them to find the information they need to support their application;</w:t>
      </w:r>
    </w:p>
    <w:p w14:paraId="33669860" w14:textId="77777777" w:rsidR="007525B2" w:rsidRDefault="007525B2" w:rsidP="007525B2">
      <w:pPr>
        <w:numPr>
          <w:ilvl w:val="0"/>
          <w:numId w:val="9"/>
        </w:numPr>
      </w:pPr>
      <w:r>
        <w:t>identifying and reporting on actions by local groups or individuals in response to plans for Gypsy sites that may constitute unlawful pressure on the authority to discriminate against Gypsies and Irish Travellers; and</w:t>
      </w:r>
    </w:p>
    <w:p w14:paraId="01F06DAD" w14:textId="77777777" w:rsidR="007525B2" w:rsidRDefault="007525B2" w:rsidP="007525B2">
      <w:pPr>
        <w:numPr>
          <w:ilvl w:val="0"/>
          <w:numId w:val="9"/>
        </w:numPr>
      </w:pPr>
      <w:r>
        <w:t>monitoring all planning applications and instances of enforcement action at every stage, by type and racial group, including Gypsies and Irish Travellers, in order to assess the effects of policies and practices on different racial groups.</w:t>
      </w:r>
    </w:p>
    <w:p w14:paraId="7FAC2E4E" w14:textId="77777777" w:rsidR="007525B2" w:rsidRDefault="007525B2" w:rsidP="007525B2">
      <w:pPr>
        <w:tabs>
          <w:tab w:val="num" w:pos="709"/>
        </w:tabs>
        <w:ind w:left="720"/>
        <w:rPr>
          <w:lang w:eastAsia="en-GB"/>
        </w:rPr>
      </w:pPr>
      <w:r>
        <w:rPr>
          <w:lang w:eastAsia="en-GB"/>
        </w:rPr>
        <w:t xml:space="preserve">Among other recommendations, the Report states that police forces should: </w:t>
      </w:r>
    </w:p>
    <w:p w14:paraId="0B7969D7" w14:textId="77777777" w:rsidR="007525B2" w:rsidRDefault="007525B2" w:rsidP="007525B2">
      <w:pPr>
        <w:numPr>
          <w:ilvl w:val="0"/>
          <w:numId w:val="9"/>
        </w:numPr>
      </w:pPr>
      <w:r>
        <w:t xml:space="preserve">include Gypsies and Irish Travellers in mainstream neighbourhood policing strategies, to promote race equality and good race relations; </w:t>
      </w:r>
    </w:p>
    <w:p w14:paraId="4BDE1F1E" w14:textId="77777777" w:rsidR="007525B2" w:rsidRDefault="007525B2" w:rsidP="007525B2">
      <w:pPr>
        <w:numPr>
          <w:ilvl w:val="0"/>
          <w:numId w:val="9"/>
        </w:numPr>
      </w:pPr>
      <w:r>
        <w:t xml:space="preserve">target individual Gypsies and Irish Travellers suspected of anti-social behaviour and crime on public, private and unauthorised sites, and not whole communities; </w:t>
      </w:r>
    </w:p>
    <w:p w14:paraId="235C9CB7" w14:textId="77777777" w:rsidR="007525B2" w:rsidRDefault="007525B2" w:rsidP="007525B2">
      <w:pPr>
        <w:numPr>
          <w:ilvl w:val="0"/>
          <w:numId w:val="9"/>
        </w:numPr>
      </w:pPr>
      <w:r>
        <w:t xml:space="preserve">treat Gypsies and Irish Travellers as members of the local community, and in ways that strengthen their trust and confidence in the police; </w:t>
      </w:r>
    </w:p>
    <w:p w14:paraId="32F4D1A7" w14:textId="77777777" w:rsidR="007525B2" w:rsidRDefault="007525B2" w:rsidP="007525B2">
      <w:pPr>
        <w:numPr>
          <w:ilvl w:val="0"/>
          <w:numId w:val="9"/>
        </w:numPr>
      </w:pPr>
      <w:r>
        <w:t xml:space="preserve">provide training for all relevant officers on Gypsies’ and Irish Travellers’ service needs, so that officers are able to do their jobs more effectively; </w:t>
      </w:r>
    </w:p>
    <w:p w14:paraId="751BBDD8" w14:textId="77777777" w:rsidR="007525B2" w:rsidRDefault="007525B2" w:rsidP="007525B2">
      <w:pPr>
        <w:numPr>
          <w:ilvl w:val="0"/>
          <w:numId w:val="9"/>
        </w:numPr>
      </w:pPr>
      <w:r>
        <w:t>review formal and informal procedures for policing unauthorised encampments, to identify and eliminate potentially discriminatory practices, and ensure that the procedures promote race equality and good race relations; and</w:t>
      </w:r>
    </w:p>
    <w:p w14:paraId="444F00ED" w14:textId="77777777" w:rsidR="007525B2" w:rsidRDefault="007525B2" w:rsidP="007525B2">
      <w:pPr>
        <w:numPr>
          <w:ilvl w:val="0"/>
          <w:numId w:val="9"/>
        </w:numPr>
      </w:pPr>
      <w:r>
        <w:t>review the way policy is put into practice, to make sure organisations and individuals take a consistent approach, resources are used effectively and strategically, all procedures are formalised, and training needs are identified.</w:t>
      </w:r>
    </w:p>
    <w:p w14:paraId="25E36EDF" w14:textId="77777777" w:rsidR="007525B2" w:rsidRDefault="007525B2" w:rsidP="007525B2">
      <w:pPr>
        <w:tabs>
          <w:tab w:val="num" w:pos="709"/>
        </w:tabs>
        <w:ind w:left="709"/>
        <w:rPr>
          <w:lang w:eastAsia="en-GB"/>
        </w:rPr>
      </w:pPr>
      <w:r>
        <w:rPr>
          <w:lang w:eastAsia="en-GB"/>
        </w:rPr>
        <w:t>Other recommendations relate to Parish and Community councils the Local Government Association, the Association of Chief Police Officers and the voluntary sector.</w:t>
      </w:r>
    </w:p>
    <w:p w14:paraId="212134A2" w14:textId="77777777" w:rsidR="007525B2" w:rsidRDefault="007525B2" w:rsidP="00CF5F7C">
      <w:pPr>
        <w:keepNext/>
        <w:numPr>
          <w:ilvl w:val="1"/>
          <w:numId w:val="22"/>
        </w:numPr>
        <w:rPr>
          <w:rFonts w:cs="Arial"/>
          <w:b/>
        </w:rPr>
      </w:pPr>
      <w:r>
        <w:rPr>
          <w:rFonts w:cs="Arial"/>
          <w:b/>
        </w:rPr>
        <w:t xml:space="preserve">Planning Advisory Service (PAS) </w:t>
      </w:r>
      <w:r>
        <w:rPr>
          <w:rFonts w:cs="Arial"/>
          <w:b/>
          <w:i/>
        </w:rPr>
        <w:t>S</w:t>
      </w:r>
      <w:r w:rsidRPr="00AD6693">
        <w:rPr>
          <w:rFonts w:cs="Arial"/>
          <w:b/>
          <w:i/>
        </w:rPr>
        <w:t>paces and places for Gypsies and Travellers: how planning can help</w:t>
      </w:r>
      <w:r>
        <w:rPr>
          <w:rFonts w:cs="Arial"/>
          <w:b/>
        </w:rPr>
        <w:t xml:space="preserve"> (2006)</w:t>
      </w:r>
    </w:p>
    <w:p w14:paraId="11ECF99B" w14:textId="77777777" w:rsidR="007525B2" w:rsidRDefault="007525B2" w:rsidP="007525B2">
      <w:pPr>
        <w:ind w:left="709"/>
        <w:rPr>
          <w:rFonts w:cs="Arial"/>
        </w:rPr>
      </w:pPr>
      <w:r>
        <w:rPr>
          <w:rFonts w:cs="Arial"/>
        </w:rPr>
        <w:t>PAS list the following as key to successful delivery of new provision:</w:t>
      </w:r>
    </w:p>
    <w:p w14:paraId="4B305F1D" w14:textId="77777777" w:rsidR="007525B2" w:rsidRDefault="007525B2" w:rsidP="007525B2">
      <w:pPr>
        <w:numPr>
          <w:ilvl w:val="0"/>
          <w:numId w:val="9"/>
        </w:numPr>
      </w:pPr>
      <w:r>
        <w:rPr>
          <w:b/>
        </w:rPr>
        <w:t>Involve Gypsy and Traveller communities</w:t>
      </w:r>
      <w:r>
        <w:t xml:space="preserve">: this needs to happen at an early stage, innovative methods of consultation need to be adopted due to low levels of literacy and high levels of social exclusion within Gypsy and Traveller communities and members of the Gypsy and Traveller community should be trained as interviewers on Accommodation Assessments (Cambridgeshire, Surrey, Dorset and Leicestershire). Other good practice examples include distribution of material via CD, so that information can be ‘listened to’ as opposed to read. The development of a dedicated Gypsy and Traveller Strategy is also seen to be good practice, helping agencies develop a co-ordinated approach and so prioritise the issue. The report also recommends the use of existing Gypsy and Traveller resources such as the planning guide published in Traveller’s Times, which aims to explain the planning process in an accessible way to members of the Gypsy and Traveller community. As well as consulting early, PAS also flags the need to consult often with communities; </w:t>
      </w:r>
    </w:p>
    <w:p w14:paraId="19BDB108" w14:textId="77777777" w:rsidR="007525B2" w:rsidRDefault="007525B2" w:rsidP="007525B2">
      <w:pPr>
        <w:numPr>
          <w:ilvl w:val="0"/>
          <w:numId w:val="9"/>
        </w:numPr>
      </w:pPr>
      <w:r>
        <w:rPr>
          <w:b/>
        </w:rPr>
        <w:t>Work collaboratively</w:t>
      </w:r>
      <w:r>
        <w:t xml:space="preserve"> with neighbouring authorities to address the issues and avoid just ‘moving it on’ to a neighbouring local authority area. With the new Duty to Co-operate established within the NPPF, working collaboratively with neighbouring local authorities has never been more important. Adopting a collaborative approach recognises that local authorities cannot work in isolation to tackle this issue; </w:t>
      </w:r>
    </w:p>
    <w:p w14:paraId="1D3D3D0D" w14:textId="77777777" w:rsidR="007525B2" w:rsidRDefault="007525B2" w:rsidP="007525B2">
      <w:pPr>
        <w:numPr>
          <w:ilvl w:val="0"/>
          <w:numId w:val="9"/>
        </w:numPr>
      </w:pPr>
      <w:r>
        <w:rPr>
          <w:b/>
        </w:rPr>
        <w:t>Be transparent</w:t>
      </w:r>
      <w:r>
        <w:t xml:space="preserve">: trust is highly valued within Gypsy and Traveller communities, and can take a long time to develop. The planning system needs to be transparent, so that members of the Gypsy and Traveller community can understand the decisions that have been taken and the reasoning behind them. PAS states that </w:t>
      </w:r>
      <w:r w:rsidRPr="00B95D8F">
        <w:rPr>
          <w:i/>
        </w:rPr>
        <w:t>‘ideally council work in this area should be led by an officer who is respected both within the Council and also within Gypsy and Traveller communities: trust is vital and can be broken easily</w:t>
      </w:r>
      <w:r>
        <w:t>.</w:t>
      </w:r>
      <w:r>
        <w:rPr>
          <w:rFonts w:cs="Arial"/>
          <w:vertAlign w:val="superscript"/>
        </w:rPr>
        <w:footnoteReference w:id="29"/>
      </w:r>
      <w:r>
        <w:t xml:space="preserve">’ Local planning authorities also need to revisit their approach to development management criteria for applications for Gypsy and Traveller sites </w:t>
      </w:r>
      <w:r w:rsidRPr="00B95D8F">
        <w:rPr>
          <w:i/>
        </w:rPr>
        <w:t>‘to ensure that criteria make it clear what applications are likely to be accepted by the council. Authorities need to ensure that these are reasonable and realistic.  Transparent and criteria-based policies help everyone to understand what decisions have been made and why.’</w:t>
      </w:r>
      <w:r>
        <w:rPr>
          <w:rFonts w:cs="Arial"/>
          <w:vertAlign w:val="superscript"/>
        </w:rPr>
        <w:t xml:space="preserve"> </w:t>
      </w:r>
      <w:r>
        <w:rPr>
          <w:rFonts w:cs="Arial"/>
          <w:vertAlign w:val="superscript"/>
        </w:rPr>
        <w:footnoteReference w:id="30"/>
      </w:r>
      <w:r>
        <w:t xml:space="preserve"> Kent and Hertsmere councils are listed as examples of good practice in this regard. </w:t>
      </w:r>
    </w:p>
    <w:p w14:paraId="515BD797" w14:textId="77777777" w:rsidR="007525B2" w:rsidRDefault="007525B2" w:rsidP="007525B2">
      <w:pPr>
        <w:numPr>
          <w:ilvl w:val="0"/>
          <w:numId w:val="9"/>
        </w:numPr>
      </w:pPr>
      <w:r>
        <w:rPr>
          <w:b/>
        </w:rPr>
        <w:t>Integration</w:t>
      </w:r>
      <w:r>
        <w:t>: accommodation needs assessments need to be integrated into the Local Plan evidence base, with site locations and requirements set out within specific Development Plan Documents (DPDs); dedicated Gypsy and Traveller DPDs are advocated as a means of ensuring that the accommodation needs of Gypsies and Travellers are fully considered and addressed within the local planning process; and</w:t>
      </w:r>
    </w:p>
    <w:p w14:paraId="4B6A9AB7" w14:textId="77777777" w:rsidR="007525B2" w:rsidRDefault="007525B2" w:rsidP="007525B2">
      <w:pPr>
        <w:numPr>
          <w:ilvl w:val="0"/>
          <w:numId w:val="9"/>
        </w:numPr>
      </w:pPr>
      <w:r>
        <w:rPr>
          <w:b/>
        </w:rPr>
        <w:t>Educate and work with councillors</w:t>
      </w:r>
      <w:r>
        <w:t xml:space="preserve">: members need to be aware of their responsibilities in terms of equality and diversity and </w:t>
      </w:r>
      <w:r w:rsidRPr="00B95D8F">
        <w:rPr>
          <w:i/>
        </w:rPr>
        <w:t>‘understand that there must be sound planning reasons for rejecting applications for Gypsy and Traveller sites’</w:t>
      </w:r>
      <w:r>
        <w:rPr>
          <w:rFonts w:cs="Arial"/>
          <w:vertAlign w:val="superscript"/>
        </w:rPr>
        <w:footnoteReference w:id="31"/>
      </w:r>
      <w:r>
        <w:t>. It is helpful for members to understand the wider benefits of providing suitable accommodation to meet the requirements of the Gypsy and Traveller community, such as:</w:t>
      </w:r>
    </w:p>
    <w:p w14:paraId="53BE36AC" w14:textId="77777777" w:rsidR="007525B2" w:rsidRDefault="007525B2" w:rsidP="007525B2">
      <w:pPr>
        <w:pStyle w:val="bulletlevel2"/>
      </w:pPr>
      <w:r>
        <w:t>An increase in site provision;</w:t>
      </w:r>
    </w:p>
    <w:p w14:paraId="4344364E" w14:textId="77777777" w:rsidR="007525B2" w:rsidRDefault="007525B2" w:rsidP="007525B2">
      <w:pPr>
        <w:pStyle w:val="bulletlevel2"/>
      </w:pPr>
      <w:r>
        <w:t xml:space="preserve">Reduced costs of enforcement; and </w:t>
      </w:r>
    </w:p>
    <w:p w14:paraId="2AE435AA" w14:textId="77777777" w:rsidR="007525B2" w:rsidRDefault="007525B2" w:rsidP="007525B2">
      <w:pPr>
        <w:pStyle w:val="bulletlevel2"/>
      </w:pPr>
      <w:r>
        <w:t xml:space="preserve">Greater community engagement and understanding of community need. </w:t>
      </w:r>
    </w:p>
    <w:p w14:paraId="0FEB80BE" w14:textId="77777777" w:rsidR="007525B2" w:rsidRDefault="007525B2" w:rsidP="00CF5F7C">
      <w:pPr>
        <w:keepNext/>
        <w:numPr>
          <w:ilvl w:val="1"/>
          <w:numId w:val="22"/>
        </w:numPr>
        <w:rPr>
          <w:rFonts w:cs="Arial"/>
          <w:b/>
        </w:rPr>
      </w:pPr>
      <w:r>
        <w:rPr>
          <w:rFonts w:cs="Arial"/>
          <w:b/>
        </w:rPr>
        <w:t xml:space="preserve">RTPI Good Practice Note 4, </w:t>
      </w:r>
      <w:r w:rsidRPr="00AD6693">
        <w:rPr>
          <w:rFonts w:cs="Arial"/>
          <w:b/>
          <w:i/>
        </w:rPr>
        <w:t>Planning for Gypsies and Travellers</w:t>
      </w:r>
      <w:r>
        <w:rPr>
          <w:rFonts w:cs="Arial"/>
          <w:b/>
        </w:rPr>
        <w:t xml:space="preserve"> (2007)</w:t>
      </w:r>
    </w:p>
    <w:p w14:paraId="58B6C586" w14:textId="77777777" w:rsidR="007525B2" w:rsidRDefault="007525B2" w:rsidP="007525B2">
      <w:pPr>
        <w:ind w:left="709"/>
        <w:rPr>
          <w:rFonts w:cs="Arial"/>
        </w:rPr>
      </w:pPr>
      <w:r>
        <w:rPr>
          <w:rFonts w:cs="Arial"/>
        </w:rPr>
        <w:t xml:space="preserve">The RTPI has developed a series of Good Practice notes for local planning authorities ‘Planning for Gypsies and Travellers’; the notes cover four key areas: </w:t>
      </w:r>
    </w:p>
    <w:p w14:paraId="76C490F9" w14:textId="77777777" w:rsidR="007525B2" w:rsidRDefault="007525B2" w:rsidP="007525B2">
      <w:pPr>
        <w:numPr>
          <w:ilvl w:val="0"/>
          <w:numId w:val="9"/>
        </w:numPr>
      </w:pPr>
      <w:r>
        <w:t>Communication, consultation and participation;</w:t>
      </w:r>
    </w:p>
    <w:p w14:paraId="6DFAA4DA" w14:textId="77777777" w:rsidR="007525B2" w:rsidRDefault="007525B2" w:rsidP="007525B2">
      <w:pPr>
        <w:numPr>
          <w:ilvl w:val="0"/>
          <w:numId w:val="9"/>
        </w:numPr>
      </w:pPr>
      <w:r>
        <w:t xml:space="preserve">Needs assessment; </w:t>
      </w:r>
    </w:p>
    <w:p w14:paraId="43933DE6" w14:textId="77777777" w:rsidR="007525B2" w:rsidRDefault="007525B2" w:rsidP="007525B2">
      <w:pPr>
        <w:numPr>
          <w:ilvl w:val="0"/>
          <w:numId w:val="9"/>
        </w:numPr>
      </w:pPr>
      <w:r>
        <w:t>Accommodation and site delivery; and</w:t>
      </w:r>
    </w:p>
    <w:p w14:paraId="02BA8064" w14:textId="77777777" w:rsidR="007525B2" w:rsidRDefault="007525B2" w:rsidP="007525B2">
      <w:pPr>
        <w:numPr>
          <w:ilvl w:val="0"/>
          <w:numId w:val="9"/>
        </w:numPr>
      </w:pPr>
      <w:r>
        <w:t xml:space="preserve">Enforcement. </w:t>
      </w:r>
    </w:p>
    <w:p w14:paraId="47DC3C04" w14:textId="77777777" w:rsidR="007525B2" w:rsidRDefault="007525B2" w:rsidP="007525B2">
      <w:pPr>
        <w:ind w:left="709"/>
        <w:rPr>
          <w:rFonts w:cs="Arial"/>
        </w:rPr>
      </w:pPr>
      <w:r>
        <w:rPr>
          <w:rFonts w:cs="Arial"/>
        </w:rPr>
        <w:t>Whilst the notes were developed prior to the NPPF and the introduction of PPTS 2012 and 2015, some of the key principles remain relevant.</w:t>
      </w:r>
      <w:r w:rsidRPr="00B13CD5">
        <w:rPr>
          <w:rFonts w:cs="Arial"/>
        </w:rPr>
        <w:t xml:space="preserve"> </w:t>
      </w:r>
      <w:r>
        <w:rPr>
          <w:rFonts w:cs="Arial"/>
        </w:rPr>
        <w:t>and it is worth considering some of the papers’ key recommendations.</w:t>
      </w:r>
    </w:p>
    <w:p w14:paraId="66F74E6E" w14:textId="77777777" w:rsidR="007525B2" w:rsidRDefault="007525B2" w:rsidP="007525B2">
      <w:pPr>
        <w:ind w:left="709"/>
        <w:rPr>
          <w:rFonts w:cs="Arial"/>
        </w:rPr>
      </w:pPr>
      <w:r>
        <w:rPr>
          <w:rFonts w:cs="Arial"/>
        </w:rPr>
        <w:t xml:space="preserve">In terms of </w:t>
      </w:r>
      <w:r>
        <w:rPr>
          <w:rFonts w:cs="Arial"/>
          <w:b/>
        </w:rPr>
        <w:t>communication, consultation and participation</w:t>
      </w:r>
      <w:r>
        <w:rPr>
          <w:rFonts w:cs="Arial"/>
        </w:rPr>
        <w:t xml:space="preserve"> the RTPI highlight the following good practice:</w:t>
      </w:r>
    </w:p>
    <w:p w14:paraId="3888AECC" w14:textId="77777777" w:rsidR="007525B2" w:rsidRDefault="007525B2" w:rsidP="007525B2">
      <w:pPr>
        <w:numPr>
          <w:ilvl w:val="0"/>
          <w:numId w:val="9"/>
        </w:numPr>
      </w:pPr>
      <w:r>
        <w:rPr>
          <w:b/>
        </w:rPr>
        <w:t>Define potentially confusing terminology</w:t>
      </w:r>
      <w:r>
        <w:t xml:space="preserve"> used by professionals working in the area; </w:t>
      </w:r>
    </w:p>
    <w:p w14:paraId="6EA6A3F8" w14:textId="77777777" w:rsidR="007525B2" w:rsidRDefault="007525B2" w:rsidP="007525B2">
      <w:pPr>
        <w:numPr>
          <w:ilvl w:val="0"/>
          <w:numId w:val="9"/>
        </w:numPr>
      </w:pPr>
      <w:r>
        <w:rPr>
          <w:b/>
        </w:rPr>
        <w:t>Use appropriate methods of consultation</w:t>
      </w:r>
      <w:r>
        <w:t xml:space="preserve">: oral exchanges and face-to-face dealings are essential to effectively engage with Gypsy and Traveller communities, whilst service providers tend to use written exchanges; </w:t>
      </w:r>
    </w:p>
    <w:p w14:paraId="09ED5576" w14:textId="77777777" w:rsidR="007525B2" w:rsidRDefault="007525B2" w:rsidP="007525B2">
      <w:pPr>
        <w:numPr>
          <w:ilvl w:val="0"/>
          <w:numId w:val="9"/>
        </w:numPr>
      </w:pPr>
      <w:r>
        <w:rPr>
          <w:b/>
        </w:rPr>
        <w:t>Consultees and participants need to be</w:t>
      </w:r>
      <w:r>
        <w:t xml:space="preserve"> </w:t>
      </w:r>
      <w:r>
        <w:rPr>
          <w:b/>
        </w:rPr>
        <w:t>involved in the entire plan making process</w:t>
      </w:r>
      <w:r>
        <w:t>; this includes in-house participants, external organisations, Gypsy and Traveller communities, and settled communities. The RTPI concludes that:</w:t>
      </w:r>
    </w:p>
    <w:p w14:paraId="70F446C9" w14:textId="77777777" w:rsidR="007525B2" w:rsidRDefault="007525B2" w:rsidP="007525B2">
      <w:pPr>
        <w:pStyle w:val="bulletlevel2"/>
      </w:pPr>
      <w:r w:rsidRPr="00B95D8F">
        <w:rPr>
          <w:i/>
        </w:rPr>
        <w:t>‘Local authorities should encourage Gypsy and Traveller communities to engage with the planning system at an early stage. However, they may request other agencies that have well-established relationships with members of Gypsy and Traveller communities to undertake this role.’</w:t>
      </w:r>
      <w:r>
        <w:t xml:space="preserve"> and</w:t>
      </w:r>
    </w:p>
    <w:p w14:paraId="664C92B1" w14:textId="77777777" w:rsidR="007525B2" w:rsidRDefault="007525B2" w:rsidP="007525B2">
      <w:pPr>
        <w:pStyle w:val="bulletlevel2"/>
      </w:pPr>
      <w:r w:rsidRPr="00B95D8F">
        <w:rPr>
          <w:i/>
        </w:rPr>
        <w:t>‘In the past, settled communities have often only become aware of the intention to develop Gypsy and Traveller accommodation when the local authority issues a notice or consultation. … cultivating the support of the settled community for the development of sites should start as soon as possible. … There is a sound case for front-loading and sharing information with small groups in the [settled] community, rather than trying to manage large public gatherings at the start of the process. Again, it may be beneficial for the local authority to work in partnership with organisations with established links in the community. The settled community is not a homogeneous whole. There will be separate groups with different perceptions and concerns, which the local authority must take account of.’</w:t>
      </w:r>
      <w:r>
        <w:rPr>
          <w:vertAlign w:val="superscript"/>
        </w:rPr>
        <w:footnoteReference w:id="32"/>
      </w:r>
      <w:r>
        <w:t xml:space="preserve"> </w:t>
      </w:r>
    </w:p>
    <w:p w14:paraId="22A46BF1" w14:textId="77777777" w:rsidR="007525B2" w:rsidRDefault="007525B2" w:rsidP="007525B2">
      <w:pPr>
        <w:numPr>
          <w:ilvl w:val="0"/>
          <w:numId w:val="9"/>
        </w:numPr>
      </w:pPr>
      <w:r>
        <w:rPr>
          <w:b/>
        </w:rPr>
        <w:t>Dialogue methods</w:t>
      </w:r>
      <w:r>
        <w:t xml:space="preserve">: the RTPI correctly identify that the experience of many Gypsies and Travellers of liaising with both public sector agencies and the settled community is both frightening and negative. As a result </w:t>
      </w:r>
      <w:r>
        <w:rPr>
          <w:i/>
        </w:rPr>
        <w:t>‘there should be no expectation that Gypsies and Travellers will participate in open meetings. Stakeholders should investigate suitable methods of bringing together individuals from the respective communities in an environment that will facilitate a constructive exchange of information and smooth the process of breaking down animosity and hostility.’</w:t>
      </w:r>
      <w:r>
        <w:rPr>
          <w:rFonts w:cs="Arial"/>
          <w:vertAlign w:val="superscript"/>
        </w:rPr>
        <w:footnoteReference w:id="33"/>
      </w:r>
      <w:r>
        <w:t xml:space="preserve"> The use of public meetings is discouraged, and the use of organisations with experience of working within both Gypsy and Traveller, and settled communities encouraged – advice and support groups, assisted by the latter, holding regular local meetings can be an effective means of engaging constructively with both communities. Representatives from these groups can also be included on appropriate forums and advisory groups. The location and timing of meetings needs to be carefully considered to maximise participation, with a neutral venue being preferable. </w:t>
      </w:r>
    </w:p>
    <w:p w14:paraId="18CDB5A6" w14:textId="77777777" w:rsidR="007525B2" w:rsidRDefault="007525B2" w:rsidP="007525B2">
      <w:pPr>
        <w:numPr>
          <w:ilvl w:val="0"/>
          <w:numId w:val="9"/>
        </w:numPr>
      </w:pPr>
      <w:r>
        <w:rPr>
          <w:b/>
        </w:rPr>
        <w:t>The media</w:t>
      </w:r>
      <w:r>
        <w:t xml:space="preserve"> has an important role to play in facilitating the delivery of sites locally, with past reporting being extremely damaging. Positive media liaison is important and requires:</w:t>
      </w:r>
    </w:p>
    <w:p w14:paraId="26BE6484" w14:textId="77777777" w:rsidR="007525B2" w:rsidRDefault="007525B2" w:rsidP="007525B2">
      <w:pPr>
        <w:pStyle w:val="bulletlevel2"/>
      </w:pPr>
      <w:r>
        <w:t>A single point of contact with the local authority;</w:t>
      </w:r>
    </w:p>
    <w:p w14:paraId="7122F32B" w14:textId="77777777" w:rsidR="007525B2" w:rsidRDefault="007525B2" w:rsidP="007525B2">
      <w:pPr>
        <w:pStyle w:val="bulletlevel2"/>
      </w:pPr>
      <w:r>
        <w:t xml:space="preserve">A liaison officer responsible for compilation and release of briefings, and for building positive relationships with editors, journalists, radio and television presenters; </w:t>
      </w:r>
    </w:p>
    <w:p w14:paraId="64D7A2F1" w14:textId="77777777" w:rsidR="007525B2" w:rsidRDefault="007525B2" w:rsidP="007525B2">
      <w:pPr>
        <w:pStyle w:val="bulletlevel2"/>
      </w:pPr>
      <w:r>
        <w:t>All stakeholders to provide accurate and timely briefings for the liaison officer;</w:t>
      </w:r>
    </w:p>
    <w:p w14:paraId="3F92EE2A" w14:textId="77777777" w:rsidR="007525B2" w:rsidRDefault="007525B2" w:rsidP="007525B2">
      <w:pPr>
        <w:pStyle w:val="bulletlevel2"/>
      </w:pPr>
      <w:r>
        <w:t xml:space="preserve">Provision of media briefings on future activities; </w:t>
      </w:r>
    </w:p>
    <w:p w14:paraId="02C78958" w14:textId="77777777" w:rsidR="007525B2" w:rsidRDefault="007525B2" w:rsidP="007525B2">
      <w:pPr>
        <w:pStyle w:val="bulletlevel2"/>
      </w:pPr>
      <w:r>
        <w:t xml:space="preserve">Officers to anticipate when and where the most sensitive and contentious issues will arise and use of a risk assessment to mitigate any negative impact; </w:t>
      </w:r>
    </w:p>
    <w:p w14:paraId="3BEC9E68" w14:textId="77777777" w:rsidR="007525B2" w:rsidRDefault="007525B2" w:rsidP="007525B2">
      <w:pPr>
        <w:pStyle w:val="bulletlevel2"/>
      </w:pPr>
      <w:r>
        <w:t>Use of the media to facilitate engagement with both settled and Gypsy and Traveller communities; and</w:t>
      </w:r>
    </w:p>
    <w:p w14:paraId="7F85C06A" w14:textId="77777777" w:rsidR="007525B2" w:rsidRDefault="007525B2" w:rsidP="007525B2">
      <w:pPr>
        <w:pStyle w:val="bulletlevel2"/>
      </w:pPr>
      <w:r>
        <w:t xml:space="preserve">Stakeholders to provide politicians with clear, accurate and comprehensive briefings. </w:t>
      </w:r>
    </w:p>
    <w:p w14:paraId="4933A209" w14:textId="77777777" w:rsidR="007525B2" w:rsidRDefault="007525B2" w:rsidP="007525B2">
      <w:pPr>
        <w:numPr>
          <w:ilvl w:val="0"/>
          <w:numId w:val="9"/>
        </w:numPr>
      </w:pPr>
      <w:r>
        <w:rPr>
          <w:b/>
        </w:rPr>
        <w:t>On-going communication, participation and consultation</w:t>
      </w:r>
      <w:r>
        <w:t xml:space="preserve"> are important. The continued use of the most effective methods of engagement once an initiative is completed ensures the maximum use of resources: </w:t>
      </w:r>
    </w:p>
    <w:p w14:paraId="5CDC131A" w14:textId="77777777" w:rsidR="007525B2" w:rsidRDefault="007525B2" w:rsidP="007525B2">
      <w:pPr>
        <w:pStyle w:val="bulletlevel2"/>
      </w:pPr>
      <w:r w:rsidRPr="00B95D8F">
        <w:rPr>
          <w:i/>
        </w:rPr>
        <w:t>‘The delivery of some services, such as the identification of sites in development plan documents, is the end of one process and the start of another. The various committees and advisory groups established to participate in the process of site identification and the accommodation needs assessment will have considerable background information and expertise embedded in their membership. This will prove useful in the management and monitoring of subsequent work. … Whilst on-going engagement with all service users is important, it is especially important with regard to Gypsies and Travellers, given their long history of marginalisation.’</w:t>
      </w:r>
      <w:r>
        <w:rPr>
          <w:vertAlign w:val="superscript"/>
        </w:rPr>
        <w:footnoteReference w:id="34"/>
      </w:r>
    </w:p>
    <w:p w14:paraId="01D5B280" w14:textId="77777777" w:rsidR="007525B2" w:rsidRDefault="007525B2" w:rsidP="007525B2">
      <w:pPr>
        <w:ind w:left="709"/>
        <w:rPr>
          <w:rFonts w:cs="Arial"/>
        </w:rPr>
      </w:pPr>
      <w:r>
        <w:rPr>
          <w:rFonts w:cs="Arial"/>
        </w:rPr>
        <w:t xml:space="preserve">Whilst the RTPI’s Good Practice Note Planning for Gypsies and Travellers predates the NPPF, the principles that it establishes at Part C remain largely relevant in terms of the role of local plan making. The Note advises that whilst the use of the site specific DPDs to identify sites for Gypsy and Traveller accommodation may seem less divisive, subsequent to identification of sufficient sites to meet identified need, local planning authorities should seek to integrate provision for Gypsies and Travellers within their general housing strategies and policies. Early involvement of stakeholders, the community and special interest groups will help achieve a consensus. </w:t>
      </w:r>
    </w:p>
    <w:p w14:paraId="7E2D9B1C" w14:textId="77777777" w:rsidR="007525B2" w:rsidRDefault="007525B2" w:rsidP="007525B2">
      <w:pPr>
        <w:ind w:left="709"/>
        <w:rPr>
          <w:rFonts w:cs="Arial"/>
        </w:rPr>
      </w:pPr>
      <w:r>
        <w:rPr>
          <w:rFonts w:cs="Arial"/>
        </w:rPr>
        <w:t xml:space="preserve">However, the RTPI point out that, due to the contentious nature of Gypsy and Traveller provision, the use of a criteria based approach to the selection of development sites is unlikely to be </w:t>
      </w:r>
      <w:r>
        <w:rPr>
          <w:rFonts w:cs="Arial"/>
          <w:i/>
        </w:rPr>
        <w:t>successful ‘in instances where considerable public opposition to the development might be anticipated.’</w:t>
      </w:r>
      <w:r>
        <w:rPr>
          <w:rFonts w:cs="Arial"/>
        </w:rPr>
        <w:t xml:space="preserve"> The paper concludes that it is not appropriate to rely solely on criteria as an alternative to site allocations where there is an identified need for the development.’</w:t>
      </w:r>
      <w:r>
        <w:rPr>
          <w:rFonts w:cs="Arial"/>
          <w:vertAlign w:val="superscript"/>
        </w:rPr>
        <w:footnoteReference w:id="35"/>
      </w:r>
      <w:r>
        <w:rPr>
          <w:rFonts w:cs="Arial"/>
        </w:rPr>
        <w:t xml:space="preserve"> </w:t>
      </w:r>
    </w:p>
    <w:p w14:paraId="36A46D5F" w14:textId="77777777" w:rsidR="007525B2" w:rsidRDefault="007525B2" w:rsidP="007525B2">
      <w:pPr>
        <w:ind w:left="709"/>
        <w:rPr>
          <w:rFonts w:cs="Arial"/>
        </w:rPr>
      </w:pPr>
      <w:r>
        <w:rPr>
          <w:rFonts w:cs="Arial"/>
        </w:rPr>
        <w:t>The RTPI advocate adopting a pragmatic approach, whereby local planning authorities work with the Gypsy and Traveller communities within their areas to identify a range of potentially suitable sites:</w:t>
      </w:r>
    </w:p>
    <w:p w14:paraId="5D04AB27" w14:textId="77777777" w:rsidR="007525B2" w:rsidRDefault="007525B2" w:rsidP="007525B2">
      <w:pPr>
        <w:pStyle w:val="bullet"/>
        <w:numPr>
          <w:ilvl w:val="0"/>
          <w:numId w:val="0"/>
        </w:numPr>
        <w:ind w:left="1069"/>
      </w:pPr>
      <w:r w:rsidRPr="00B95D8F">
        <w:rPr>
          <w:i/>
        </w:rPr>
        <w:t>‘The local authority and Gypsy and Traveller communities are both able to bring forward their suggested sites during this process, and the distribution and location of transit as well as permanent sites can be covered. The practicable options would then go forward for discussion with the local community, interest groups, and other stakeholders before the selection of preferred sites is finalised. The advantages of this approach are its transparency and the certainty it provides both for Gypsies and Travellers and for settled communities.’</w:t>
      </w:r>
      <w:r>
        <w:rPr>
          <w:vertAlign w:val="superscript"/>
        </w:rPr>
        <w:footnoteReference w:id="36"/>
      </w:r>
      <w:r>
        <w:t xml:space="preserve"> </w:t>
      </w:r>
    </w:p>
    <w:p w14:paraId="1726E89D" w14:textId="77777777" w:rsidR="007525B2" w:rsidRDefault="007525B2" w:rsidP="007525B2">
      <w:pPr>
        <w:ind w:left="709"/>
        <w:rPr>
          <w:rFonts w:cs="Arial"/>
        </w:rPr>
      </w:pPr>
      <w:r>
        <w:rPr>
          <w:rFonts w:cs="Arial"/>
        </w:rPr>
        <w:t>The RTPI also advocates the use of supplementary planning guidance to provide additional detail on policies contained within a Local Plan; in terms of Gypsies and Travellers this could include:</w:t>
      </w:r>
    </w:p>
    <w:p w14:paraId="4AB682A9" w14:textId="77777777" w:rsidR="007525B2" w:rsidRDefault="007525B2" w:rsidP="007525B2">
      <w:pPr>
        <w:numPr>
          <w:ilvl w:val="0"/>
          <w:numId w:val="9"/>
        </w:numPr>
      </w:pPr>
      <w:r>
        <w:t xml:space="preserve">Needs assessment evidence base; </w:t>
      </w:r>
    </w:p>
    <w:p w14:paraId="56BF6D01" w14:textId="77777777" w:rsidR="007525B2" w:rsidRDefault="007525B2" w:rsidP="007525B2">
      <w:pPr>
        <w:numPr>
          <w:ilvl w:val="0"/>
          <w:numId w:val="9"/>
        </w:numPr>
      </w:pPr>
      <w:r>
        <w:t xml:space="preserve">Design principles; and </w:t>
      </w:r>
    </w:p>
    <w:p w14:paraId="08C59084" w14:textId="77777777" w:rsidR="007525B2" w:rsidRPr="0094479F" w:rsidRDefault="007525B2" w:rsidP="007525B2">
      <w:pPr>
        <w:numPr>
          <w:ilvl w:val="0"/>
          <w:numId w:val="9"/>
        </w:numPr>
      </w:pPr>
      <w:r>
        <w:t xml:space="preserve">A design brief for the layout of sites. </w:t>
      </w:r>
    </w:p>
    <w:p w14:paraId="1E45C091" w14:textId="77777777" w:rsidR="007525B2" w:rsidRDefault="007525B2" w:rsidP="00CF5F7C">
      <w:pPr>
        <w:keepNext/>
        <w:numPr>
          <w:ilvl w:val="1"/>
          <w:numId w:val="22"/>
        </w:numPr>
        <w:rPr>
          <w:b/>
          <w:bCs/>
          <w:lang w:eastAsia="en-GB"/>
        </w:rPr>
      </w:pPr>
      <w:r>
        <w:rPr>
          <w:b/>
          <w:bCs/>
          <w:lang w:eastAsia="en-GB"/>
        </w:rPr>
        <w:t>Guidance on Gypsy and Traveller Accommodation Needs Assessments, DCLG, October 2007</w:t>
      </w:r>
    </w:p>
    <w:p w14:paraId="74F93F62" w14:textId="1C36DF9D" w:rsidR="007525B2" w:rsidRDefault="007525B2" w:rsidP="007525B2">
      <w:pPr>
        <w:tabs>
          <w:tab w:val="num" w:pos="709"/>
        </w:tabs>
        <w:ind w:left="709"/>
        <w:rPr>
          <w:lang w:eastAsia="en-GB"/>
        </w:rPr>
      </w:pPr>
      <w:r>
        <w:rPr>
          <w:lang w:eastAsia="en-GB"/>
        </w:rPr>
        <w:t xml:space="preserve">This Guidance </w:t>
      </w:r>
      <w:r w:rsidR="007D09A9">
        <w:rPr>
          <w:lang w:eastAsia="en-GB"/>
        </w:rPr>
        <w:t xml:space="preserve">(formally cancelled in December 2016) </w:t>
      </w:r>
      <w:r>
        <w:rPr>
          <w:lang w:eastAsia="en-GB"/>
        </w:rPr>
        <w:t xml:space="preserve">sets out a detailed framework for designing, planning and carrying out Gypsy and Traveller accommodation needs assessments. It includes the needs of Showpeople. It acknowledges that the housing needs of Gypsies and Travellers are likely to differ from those of the settled community, and that they have hitherto been excluded from accommodation needs assessments. </w:t>
      </w:r>
    </w:p>
    <w:p w14:paraId="19018219" w14:textId="77777777" w:rsidR="007525B2" w:rsidRDefault="007525B2" w:rsidP="007525B2">
      <w:pPr>
        <w:tabs>
          <w:tab w:val="num" w:pos="709"/>
        </w:tabs>
        <w:ind w:left="709"/>
        <w:rPr>
          <w:lang w:eastAsia="en-GB"/>
        </w:rPr>
      </w:pPr>
      <w:r>
        <w:rPr>
          <w:lang w:eastAsia="en-GB"/>
        </w:rPr>
        <w:t>The guidance stresses the importance of understanding accommodation needs of the whole Gypsy and Traveller population; and that studies obtain robust data. It recognises the difficulty of surveying this population and recommends the use of:</w:t>
      </w:r>
    </w:p>
    <w:p w14:paraId="69E8B758" w14:textId="77777777" w:rsidR="007525B2" w:rsidRDefault="007525B2" w:rsidP="007525B2">
      <w:pPr>
        <w:numPr>
          <w:ilvl w:val="0"/>
          <w:numId w:val="9"/>
        </w:numPr>
      </w:pPr>
      <w:r>
        <w:t>Qualitative methods such as focus groups and group interviews;</w:t>
      </w:r>
    </w:p>
    <w:p w14:paraId="1FCEA900" w14:textId="77777777" w:rsidR="007525B2" w:rsidRDefault="007525B2" w:rsidP="007525B2">
      <w:pPr>
        <w:numPr>
          <w:ilvl w:val="0"/>
          <w:numId w:val="9"/>
        </w:numPr>
      </w:pPr>
      <w:r>
        <w:t>Specialist surveys of those living on authorised sites that are willing to respond; and</w:t>
      </w:r>
    </w:p>
    <w:p w14:paraId="56362C68" w14:textId="77777777" w:rsidR="007525B2" w:rsidRDefault="007525B2" w:rsidP="007525B2">
      <w:pPr>
        <w:numPr>
          <w:ilvl w:val="0"/>
          <w:numId w:val="9"/>
        </w:numPr>
      </w:pPr>
      <w:r>
        <w:t xml:space="preserve">Existing information, including local authority site records and the twice yearly caravan counts. </w:t>
      </w:r>
    </w:p>
    <w:p w14:paraId="77526F97" w14:textId="66D94B81" w:rsidR="007525B2" w:rsidRDefault="007D09A9" w:rsidP="007525B2">
      <w:pPr>
        <w:ind w:left="709"/>
      </w:pPr>
      <w:r>
        <w:t>The G</w:t>
      </w:r>
      <w:r w:rsidR="007525B2">
        <w:t xml:space="preserve">uidance recognises that there are challenges in carrying out these assessments, and accepts that while the approach should be as robust as possible it is very difficult to exactly quantify unmet need. </w:t>
      </w:r>
    </w:p>
    <w:p w14:paraId="308FDD95" w14:textId="77777777" w:rsidR="007525B2" w:rsidRDefault="007525B2" w:rsidP="00CF5F7C">
      <w:pPr>
        <w:keepNext/>
        <w:numPr>
          <w:ilvl w:val="1"/>
          <w:numId w:val="22"/>
        </w:numPr>
        <w:rPr>
          <w:b/>
          <w:lang w:eastAsia="en-GB"/>
        </w:rPr>
      </w:pPr>
      <w:r>
        <w:rPr>
          <w:b/>
          <w:lang w:eastAsia="en-GB"/>
        </w:rPr>
        <w:t>Designing Gypsy and Traveller Sites Good Practice Guide, DCLG, May 2008</w:t>
      </w:r>
    </w:p>
    <w:p w14:paraId="1A345BFF" w14:textId="77777777" w:rsidR="007525B2" w:rsidRDefault="007525B2" w:rsidP="007525B2">
      <w:pPr>
        <w:tabs>
          <w:tab w:val="num" w:pos="709"/>
        </w:tabs>
        <w:ind w:left="709"/>
        <w:rPr>
          <w:lang w:eastAsia="en-GB"/>
        </w:rPr>
      </w:pPr>
      <w:r>
        <w:rPr>
          <w:lang w:eastAsia="en-GB"/>
        </w:rPr>
        <w:t>The Guide (now cancelled) attempted to establish and summarise the key elements needed to design a successful site. In particular, the guidance intended to assist:</w:t>
      </w:r>
    </w:p>
    <w:p w14:paraId="65BA0852" w14:textId="77777777" w:rsidR="007525B2" w:rsidRDefault="007525B2" w:rsidP="007525B2">
      <w:pPr>
        <w:numPr>
          <w:ilvl w:val="0"/>
          <w:numId w:val="9"/>
        </w:numPr>
      </w:pPr>
      <w:r>
        <w:t>Local authorities or Registered Providers looking to develop new sites or refurbish existing sites;</w:t>
      </w:r>
    </w:p>
    <w:p w14:paraId="2CDE24F5" w14:textId="77777777" w:rsidR="007525B2" w:rsidRDefault="007525B2" w:rsidP="007525B2">
      <w:pPr>
        <w:numPr>
          <w:ilvl w:val="0"/>
          <w:numId w:val="9"/>
        </w:numPr>
      </w:pPr>
      <w:r>
        <w:t>Architects or developers looking to develop sites or refurbish existing sites; and</w:t>
      </w:r>
    </w:p>
    <w:p w14:paraId="613C8572" w14:textId="77777777" w:rsidR="007525B2" w:rsidRDefault="007525B2" w:rsidP="007525B2">
      <w:pPr>
        <w:numPr>
          <w:ilvl w:val="0"/>
          <w:numId w:val="9"/>
        </w:numPr>
      </w:pPr>
      <w:r>
        <w:t xml:space="preserve">Site residents looking to participate in the design/refurbishment process. </w:t>
      </w:r>
    </w:p>
    <w:p w14:paraId="69D85A53" w14:textId="77777777" w:rsidR="007525B2" w:rsidRDefault="007525B2" w:rsidP="00CF5F7C">
      <w:pPr>
        <w:keepNext/>
        <w:numPr>
          <w:ilvl w:val="1"/>
          <w:numId w:val="22"/>
        </w:numPr>
        <w:rPr>
          <w:b/>
        </w:rPr>
      </w:pPr>
      <w:r>
        <w:rPr>
          <w:b/>
          <w:bCs/>
          <w:lang w:eastAsia="en-GB"/>
        </w:rPr>
        <w:t>The</w:t>
      </w:r>
      <w:r>
        <w:rPr>
          <w:b/>
        </w:rPr>
        <w:t xml:space="preserve"> National Planning Policy Framework, March 2012</w:t>
      </w:r>
    </w:p>
    <w:p w14:paraId="2C0E2248" w14:textId="77777777" w:rsidR="007525B2" w:rsidRDefault="007525B2" w:rsidP="007525B2">
      <w:pPr>
        <w:keepNext/>
        <w:ind w:left="709"/>
        <w:rPr>
          <w:b/>
        </w:rPr>
      </w:pPr>
      <w:r>
        <w:rPr>
          <w:rFonts w:cs="Arial"/>
          <w:lang w:eastAsia="en-GB"/>
        </w:rPr>
        <w:t>The National Planning Policy Framework (NPPF) came into effect in March 2012 and sets out the Government’s planning policies for England. It condenses previous guidance and places a strong emphasis on ‘sustainable development’. It provides more focussed guidance on plan-making and refers to ‘Local Plans’ rather than Local Development Frameworks or Development Plan Documents. Despite the difference in terminology it does not affect the provisions of the 2004 Act which remains the legal basis for plan-making.</w:t>
      </w:r>
    </w:p>
    <w:p w14:paraId="3545EEDC" w14:textId="77777777" w:rsidR="007525B2" w:rsidRDefault="007525B2" w:rsidP="00CF5F7C">
      <w:pPr>
        <w:keepNext/>
        <w:numPr>
          <w:ilvl w:val="1"/>
          <w:numId w:val="22"/>
        </w:numPr>
        <w:rPr>
          <w:b/>
        </w:rPr>
      </w:pPr>
      <w:r>
        <w:rPr>
          <w:b/>
        </w:rPr>
        <w:t>DCLG Planning policy for traveller sites, March 2012 (subsequently updated August 2015)</w:t>
      </w:r>
    </w:p>
    <w:p w14:paraId="56E94B6E" w14:textId="6178F1FC" w:rsidR="007525B2" w:rsidRDefault="007525B2" w:rsidP="007525B2">
      <w:pPr>
        <w:tabs>
          <w:tab w:val="num" w:pos="709"/>
        </w:tabs>
        <w:ind w:left="709"/>
      </w:pPr>
      <w:r>
        <w:t xml:space="preserve">In March 2012 the Government also published </w:t>
      </w:r>
      <w:r w:rsidRPr="00437D2A">
        <w:rPr>
          <w:i/>
        </w:rPr>
        <w:t>Planning policy for traveller sites</w:t>
      </w:r>
      <w:r>
        <w:t xml:space="preserve">, which together with the NPPF replaced all previous planning policy guidance in respect of Gypsies and Travellers. The policy approach encouraged provision of sites for Gypsies and Travellers where there is an identified need, to help maintain an appropriate level of supply. The policy also encouraged the use of plan making and decision taking to reduce unauthorised developments and encampments. This </w:t>
      </w:r>
      <w:r w:rsidR="007D09A9">
        <w:t>policy document was replaced by updated PPTS in August 2015 (see below).</w:t>
      </w:r>
    </w:p>
    <w:p w14:paraId="4EFFAF2D" w14:textId="77777777" w:rsidR="007525B2" w:rsidRDefault="007525B2" w:rsidP="00CF5F7C">
      <w:pPr>
        <w:keepNext/>
        <w:numPr>
          <w:ilvl w:val="1"/>
          <w:numId w:val="22"/>
        </w:numPr>
        <w:rPr>
          <w:b/>
        </w:rPr>
      </w:pPr>
      <w:r>
        <w:rPr>
          <w:b/>
        </w:rPr>
        <w:t>Progress report by the ministerial working group on tackling inequalities experienced by Gypsies and Travellers, April 2012</w:t>
      </w:r>
    </w:p>
    <w:p w14:paraId="41F0209F" w14:textId="77777777" w:rsidR="007525B2" w:rsidRDefault="007525B2" w:rsidP="007525B2">
      <w:pPr>
        <w:tabs>
          <w:tab w:val="num" w:pos="709"/>
        </w:tabs>
        <w:ind w:left="709"/>
      </w:pPr>
      <w:r>
        <w:t>In April 2012 the Government published a Progress Report by the ministerial working group on tackling inequalities experienced by Gypsies and Travellers, which summarised progress in terms of meeting ‘Government commitments to tackle inequalities and promote fairness for Gypsy and Traveller communities.’</w:t>
      </w:r>
      <w:r>
        <w:rPr>
          <w:rFonts w:cs="Arial"/>
          <w:vertAlign w:val="superscript"/>
        </w:rPr>
        <w:footnoteReference w:id="37"/>
      </w:r>
      <w:r>
        <w:t xml:space="preserve"> The report covers 28 measures from across Government aimed at tackling inequalities, these cover:</w:t>
      </w:r>
    </w:p>
    <w:p w14:paraId="34205458" w14:textId="77777777" w:rsidR="007525B2" w:rsidRDefault="007525B2" w:rsidP="007525B2">
      <w:pPr>
        <w:numPr>
          <w:ilvl w:val="0"/>
          <w:numId w:val="9"/>
        </w:numPr>
      </w:pPr>
      <w:r>
        <w:t>Improving education outcomes;</w:t>
      </w:r>
    </w:p>
    <w:p w14:paraId="575092FA" w14:textId="77777777" w:rsidR="007525B2" w:rsidRDefault="007525B2" w:rsidP="007525B2">
      <w:pPr>
        <w:numPr>
          <w:ilvl w:val="0"/>
          <w:numId w:val="9"/>
        </w:numPr>
      </w:pPr>
      <w:r>
        <w:t>Improving health outcomes;</w:t>
      </w:r>
    </w:p>
    <w:p w14:paraId="492366F3" w14:textId="77777777" w:rsidR="007525B2" w:rsidRDefault="007525B2" w:rsidP="007525B2">
      <w:pPr>
        <w:numPr>
          <w:ilvl w:val="0"/>
          <w:numId w:val="9"/>
        </w:numPr>
      </w:pPr>
      <w:r>
        <w:t>Providing appropriate accommodation;</w:t>
      </w:r>
    </w:p>
    <w:p w14:paraId="6E3141DB" w14:textId="77777777" w:rsidR="007525B2" w:rsidRDefault="007525B2" w:rsidP="007525B2">
      <w:pPr>
        <w:numPr>
          <w:ilvl w:val="0"/>
          <w:numId w:val="9"/>
        </w:numPr>
      </w:pPr>
      <w:r>
        <w:t>Tackling hate crime;</w:t>
      </w:r>
    </w:p>
    <w:p w14:paraId="72B856A2" w14:textId="77777777" w:rsidR="007525B2" w:rsidRDefault="007525B2" w:rsidP="007525B2">
      <w:pPr>
        <w:numPr>
          <w:ilvl w:val="0"/>
          <w:numId w:val="9"/>
        </w:numPr>
      </w:pPr>
      <w:r>
        <w:t>Improving interaction with the National Offender Management Service;</w:t>
      </w:r>
    </w:p>
    <w:p w14:paraId="24E06A3B" w14:textId="77777777" w:rsidR="007525B2" w:rsidRDefault="007525B2" w:rsidP="007525B2">
      <w:pPr>
        <w:numPr>
          <w:ilvl w:val="0"/>
          <w:numId w:val="9"/>
        </w:numPr>
      </w:pPr>
      <w:r>
        <w:t>Improving access to employment and financial services; and</w:t>
      </w:r>
    </w:p>
    <w:p w14:paraId="50582A21" w14:textId="77777777" w:rsidR="007525B2" w:rsidRDefault="007525B2" w:rsidP="007525B2">
      <w:pPr>
        <w:numPr>
          <w:ilvl w:val="0"/>
          <w:numId w:val="9"/>
        </w:numPr>
      </w:pPr>
      <w:r>
        <w:t xml:space="preserve">Improving engagement with service providers. </w:t>
      </w:r>
    </w:p>
    <w:p w14:paraId="615525E1" w14:textId="77777777" w:rsidR="007525B2" w:rsidRDefault="007525B2" w:rsidP="00CF5F7C">
      <w:pPr>
        <w:keepNext/>
        <w:numPr>
          <w:ilvl w:val="1"/>
          <w:numId w:val="22"/>
        </w:numPr>
        <w:rPr>
          <w:b/>
        </w:rPr>
      </w:pPr>
      <w:r>
        <w:rPr>
          <w:b/>
        </w:rPr>
        <w:t xml:space="preserve">Dealing with illegal and unauthorised encampments: a summary of available powers, DCLG August 2012 </w:t>
      </w:r>
    </w:p>
    <w:p w14:paraId="1A9B062D" w14:textId="38A625E4" w:rsidR="007525B2" w:rsidRDefault="007525B2" w:rsidP="007525B2">
      <w:pPr>
        <w:tabs>
          <w:tab w:val="num" w:pos="709"/>
        </w:tabs>
        <w:ind w:left="709"/>
      </w:pPr>
      <w:r>
        <w:t xml:space="preserve">This guidance note (now superseded, March 2015) summarised the powers available to local authorities and landowners to remove encampments from both public and private land. </w:t>
      </w:r>
    </w:p>
    <w:p w14:paraId="603DE370" w14:textId="77777777" w:rsidR="007525B2" w:rsidRDefault="007525B2" w:rsidP="00CF5F7C">
      <w:pPr>
        <w:numPr>
          <w:ilvl w:val="1"/>
          <w:numId w:val="22"/>
        </w:numPr>
      </w:pPr>
      <w:r>
        <w:rPr>
          <w:rFonts w:cs="Arial"/>
          <w:b/>
        </w:rPr>
        <w:t xml:space="preserve">Statutory Instrument 2013 No.830 Town and Country Planning (Temporary Stop Notice) (England) (Revocation) Regulations 2013: </w:t>
      </w:r>
      <w:r>
        <w:rPr>
          <w:rFonts w:cs="Arial"/>
        </w:rPr>
        <w:t>Made on 11</w:t>
      </w:r>
      <w:r>
        <w:rPr>
          <w:rFonts w:cs="Arial"/>
          <w:vertAlign w:val="superscript"/>
        </w:rPr>
        <w:t>th</w:t>
      </w:r>
      <w:r>
        <w:rPr>
          <w:rFonts w:cs="Arial"/>
        </w:rPr>
        <w:t xml:space="preserve"> April 2013 and laid before Parliament on 12</w:t>
      </w:r>
      <w:r>
        <w:rPr>
          <w:rFonts w:cs="Arial"/>
          <w:vertAlign w:val="superscript"/>
        </w:rPr>
        <w:t>th</w:t>
      </w:r>
      <w:r>
        <w:rPr>
          <w:rFonts w:cs="Arial"/>
        </w:rPr>
        <w:t xml:space="preserve"> April 2013 this Instrument revoking the regulations applying to Temporary Stop Notices (TSNs) in England came into force on 4</w:t>
      </w:r>
      <w:r>
        <w:rPr>
          <w:rFonts w:cs="Arial"/>
          <w:vertAlign w:val="superscript"/>
        </w:rPr>
        <w:t>th</w:t>
      </w:r>
      <w:r>
        <w:rPr>
          <w:rFonts w:cs="Arial"/>
        </w:rPr>
        <w:t xml:space="preserve"> May 2013. The regulations were originally introduced to mitigate against the likely disproportionate impact of TSNs on Gypsies and Travellers in areas where there is a lack of sites to meet the needs of the Travelling community. Under the regulations, TSNs were prohibited where a caravan was a person’s main residence, unless there was a risk of harm to a serious public interest significant enough to outweigh any benefit to the occupier of the caravan. Under the new arrangements local planning authorities are to determine whether the use of a TSN is a proportionate and necessary response. </w:t>
      </w:r>
    </w:p>
    <w:p w14:paraId="414B28E3" w14:textId="77777777" w:rsidR="007525B2" w:rsidRDefault="007525B2" w:rsidP="00CF5F7C">
      <w:pPr>
        <w:numPr>
          <w:ilvl w:val="1"/>
          <w:numId w:val="22"/>
        </w:numPr>
      </w:pPr>
      <w:r>
        <w:rPr>
          <w:rFonts w:cs="Arial"/>
          <w:b/>
        </w:rPr>
        <w:t>Ministerial Statement 1</w:t>
      </w:r>
      <w:r>
        <w:rPr>
          <w:rFonts w:cs="Arial"/>
          <w:b/>
          <w:vertAlign w:val="superscript"/>
        </w:rPr>
        <w:t>st</w:t>
      </w:r>
      <w:r>
        <w:rPr>
          <w:rFonts w:cs="Arial"/>
          <w:b/>
        </w:rPr>
        <w:t xml:space="preserve"> July 2013 by Brandon Lewis</w:t>
      </w:r>
      <w:r>
        <w:rPr>
          <w:vertAlign w:val="superscript"/>
        </w:rPr>
        <w:footnoteReference w:id="38"/>
      </w:r>
      <w:r>
        <w:t xml:space="preserve"> highlighted the issue of inappropriate development in the Green Belt and revised the appeals recovery criteria issued on 30</w:t>
      </w:r>
      <w:r>
        <w:rPr>
          <w:vertAlign w:val="superscript"/>
        </w:rPr>
        <w:t>th</w:t>
      </w:r>
      <w:r>
        <w:t xml:space="preserve"> June 2008 to enable an initial six-month period of scrutiny of Traveller site appeals in the Green Belt. This was so that the Secretary of State could assess the extent to which the national policy, </w:t>
      </w:r>
      <w:r w:rsidRPr="00437D2A">
        <w:rPr>
          <w:i/>
        </w:rPr>
        <w:t>Planning policy for traveller sites</w:t>
      </w:r>
      <w:r>
        <w:t xml:space="preserve">, was meeting the Government’s stated policy intentions. </w:t>
      </w:r>
      <w:r>
        <w:rPr>
          <w:rFonts w:cs="Arial"/>
        </w:rPr>
        <w:t xml:space="preserve">A number of appeals have subsequently been recovered. </w:t>
      </w:r>
      <w:r>
        <w:t>The Statement also revoked the practice guidance on ‘Diversity and equality in planning’</w:t>
      </w:r>
      <w:r>
        <w:rPr>
          <w:vertAlign w:val="superscript"/>
        </w:rPr>
        <w:footnoteReference w:id="39"/>
      </w:r>
      <w:r>
        <w:t xml:space="preserve">, deeming it to be outdated; the Government does not intend to replace this guidance. </w:t>
      </w:r>
    </w:p>
    <w:p w14:paraId="7F5AD212" w14:textId="5908694E" w:rsidR="007525B2" w:rsidRPr="007C41A1" w:rsidRDefault="007525B2" w:rsidP="00CF5F7C">
      <w:pPr>
        <w:numPr>
          <w:ilvl w:val="1"/>
          <w:numId w:val="22"/>
        </w:numPr>
        <w:rPr>
          <w:rFonts w:cs="Arial"/>
          <w:color w:val="0B0C0C"/>
          <w:lang w:eastAsia="en-GB"/>
        </w:rPr>
      </w:pPr>
      <w:r>
        <w:rPr>
          <w:b/>
        </w:rPr>
        <w:t>Dealing with illegal and unauthorised encampments: a summary of available powers 9</w:t>
      </w:r>
      <w:r>
        <w:rPr>
          <w:b/>
          <w:vertAlign w:val="superscript"/>
        </w:rPr>
        <w:t>th</w:t>
      </w:r>
      <w:r>
        <w:rPr>
          <w:b/>
        </w:rPr>
        <w:t xml:space="preserve"> August 2013.</w:t>
      </w:r>
      <w:r>
        <w:t xml:space="preserve"> This guidance (now superseded, March 2015) replaced that published in August 2012, and updated it in respect of changes to Temporary Stop Notices. </w:t>
      </w:r>
    </w:p>
    <w:p w14:paraId="5A39FC97" w14:textId="77777777" w:rsidR="007525B2" w:rsidRPr="007C41A1" w:rsidRDefault="007525B2" w:rsidP="00CF5F7C">
      <w:pPr>
        <w:keepNext/>
        <w:numPr>
          <w:ilvl w:val="1"/>
          <w:numId w:val="22"/>
        </w:numPr>
        <w:rPr>
          <w:rFonts w:cs="Arial"/>
          <w:b/>
        </w:rPr>
      </w:pPr>
      <w:r>
        <w:rPr>
          <w:rFonts w:cs="Arial"/>
          <w:b/>
        </w:rPr>
        <w:t xml:space="preserve">DCLG </w:t>
      </w:r>
      <w:r w:rsidRPr="007C41A1">
        <w:rPr>
          <w:rFonts w:cs="Arial"/>
          <w:b/>
        </w:rPr>
        <w:t>Consultation: Planning and Travellers, September 2014.</w:t>
      </w:r>
      <w:r w:rsidRPr="007C41A1">
        <w:rPr>
          <w:rFonts w:cs="Arial"/>
        </w:rPr>
        <w:t xml:space="preserve"> This consultation document sought to:</w:t>
      </w:r>
    </w:p>
    <w:p w14:paraId="7D9C1707" w14:textId="77777777" w:rsidR="007525B2" w:rsidRDefault="007525B2" w:rsidP="007525B2">
      <w:pPr>
        <w:numPr>
          <w:ilvl w:val="0"/>
          <w:numId w:val="9"/>
        </w:numPr>
      </w:pPr>
      <w:r>
        <w:t>Amend the Planning policy for Traveller sites’ definition of Travellers and Travelling Showpeople to exclude those who have ceased to travel permanently;</w:t>
      </w:r>
    </w:p>
    <w:p w14:paraId="682C5024" w14:textId="77777777" w:rsidR="007525B2" w:rsidRDefault="007525B2" w:rsidP="007525B2">
      <w:pPr>
        <w:numPr>
          <w:ilvl w:val="0"/>
          <w:numId w:val="9"/>
        </w:numPr>
      </w:pPr>
      <w:r>
        <w:t>Amend secondary legislation to bring the definition of Gypsies and Travellers, set out in the Housing (Assessment of Accommodation Needs)(Meaning of Gypsies and Travellers)(England) Regulations 2006 in line with the proposed changed definition set out above for the Planning policy for Traveller sites;</w:t>
      </w:r>
    </w:p>
    <w:p w14:paraId="070B64CD" w14:textId="77777777" w:rsidR="007525B2" w:rsidRDefault="007525B2" w:rsidP="007525B2">
      <w:pPr>
        <w:numPr>
          <w:ilvl w:val="0"/>
          <w:numId w:val="9"/>
        </w:numPr>
      </w:pPr>
      <w:r>
        <w:t>Make the intentional unauthorised occupation of land be regarded by decision takers as a material consideration that weighs against the granting of planning permission. In other words, failure to seek permission in advance of occupation of land would count against the grant of planning permission;</w:t>
      </w:r>
    </w:p>
    <w:p w14:paraId="5B26B947" w14:textId="77777777" w:rsidR="007525B2" w:rsidRDefault="007525B2" w:rsidP="007525B2">
      <w:pPr>
        <w:numPr>
          <w:ilvl w:val="0"/>
          <w:numId w:val="9"/>
        </w:numPr>
      </w:pPr>
      <w:r>
        <w:t>Protect ‘sensitive areas’ including the Green Belt;</w:t>
      </w:r>
    </w:p>
    <w:p w14:paraId="779ECA75" w14:textId="77777777" w:rsidR="007525B2" w:rsidRDefault="007525B2" w:rsidP="007525B2">
      <w:pPr>
        <w:numPr>
          <w:ilvl w:val="0"/>
          <w:numId w:val="9"/>
        </w:numPr>
      </w:pPr>
      <w:r>
        <w:t>Update guidance on how local authorities should assess future Traveller accommodation requirements, including sources of information that authorities should use. In terms of future needs assessments the consultation suggests that authorities should look at:</w:t>
      </w:r>
    </w:p>
    <w:p w14:paraId="21C9D966" w14:textId="77777777" w:rsidR="007525B2" w:rsidRDefault="007525B2" w:rsidP="007525B2">
      <w:pPr>
        <w:pStyle w:val="bulletlevel2"/>
      </w:pPr>
      <w:r>
        <w:t>The change in the number of Traveller households that have or are likely to have accommodation needs to be addressed over the Plan period;</w:t>
      </w:r>
    </w:p>
    <w:p w14:paraId="57A5F14D" w14:textId="77777777" w:rsidR="007525B2" w:rsidRDefault="007525B2" w:rsidP="007525B2">
      <w:pPr>
        <w:pStyle w:val="bulletlevel2"/>
      </w:pPr>
      <w:r>
        <w:t>Broad locations where there is a demand for additional pitches;</w:t>
      </w:r>
    </w:p>
    <w:p w14:paraId="1426E93F" w14:textId="77777777" w:rsidR="007525B2" w:rsidRDefault="007525B2" w:rsidP="007525B2">
      <w:pPr>
        <w:pStyle w:val="bulletlevel2"/>
      </w:pPr>
      <w:r>
        <w:t>The level, quality and types of accommodation and facilities needed (e.g. sites and housing);</w:t>
      </w:r>
    </w:p>
    <w:p w14:paraId="33CEDA4C" w14:textId="77777777" w:rsidR="007525B2" w:rsidRDefault="007525B2" w:rsidP="007525B2">
      <w:pPr>
        <w:pStyle w:val="bulletlevel2"/>
      </w:pPr>
      <w:r>
        <w:t>The demographic profile of the Traveller community obtained from working directly with them;</w:t>
      </w:r>
    </w:p>
    <w:p w14:paraId="2199693B" w14:textId="77777777" w:rsidR="007525B2" w:rsidRDefault="007525B2" w:rsidP="007525B2">
      <w:pPr>
        <w:pStyle w:val="bulletlevel2"/>
      </w:pPr>
      <w:r>
        <w:t>Caravan count data at a local level; and</w:t>
      </w:r>
    </w:p>
    <w:p w14:paraId="1566CB30" w14:textId="77777777" w:rsidR="007525B2" w:rsidRDefault="007525B2" w:rsidP="007525B2">
      <w:pPr>
        <w:pStyle w:val="bulletlevel2"/>
      </w:pPr>
      <w:r>
        <w:t>Whether there are needs at different times of the year.</w:t>
      </w:r>
    </w:p>
    <w:p w14:paraId="238DA03E" w14:textId="77777777" w:rsidR="007525B2" w:rsidRDefault="007525B2" w:rsidP="007525B2">
      <w:pPr>
        <w:numPr>
          <w:ilvl w:val="0"/>
          <w:numId w:val="9"/>
        </w:numPr>
      </w:pPr>
      <w:r>
        <w:t>The consultation closed on 23</w:t>
      </w:r>
      <w:r>
        <w:rPr>
          <w:vertAlign w:val="superscript"/>
        </w:rPr>
        <w:t>rd</w:t>
      </w:r>
      <w:r>
        <w:t xml:space="preserve"> November 2014.</w:t>
      </w:r>
    </w:p>
    <w:p w14:paraId="2893D109" w14:textId="77777777" w:rsidR="00EF4E12" w:rsidRPr="00DC0144" w:rsidRDefault="007525B2" w:rsidP="00CF5F7C">
      <w:pPr>
        <w:numPr>
          <w:ilvl w:val="1"/>
          <w:numId w:val="22"/>
        </w:numPr>
      </w:pPr>
      <w:r w:rsidRPr="00DC0144">
        <w:rPr>
          <w:b/>
        </w:rPr>
        <w:t>Dealing with illegal and unauthorised encampments: a summary of available powers, March 2015.</w:t>
      </w:r>
      <w:r w:rsidRPr="00DC0144">
        <w:t xml:space="preserve"> </w:t>
      </w:r>
    </w:p>
    <w:p w14:paraId="0B494005" w14:textId="4E9185DA" w:rsidR="007525B2" w:rsidRPr="00DC0144" w:rsidRDefault="00DC0144" w:rsidP="00DC0144">
      <w:pPr>
        <w:ind w:left="709"/>
      </w:pPr>
      <w:r w:rsidRPr="00DC0144">
        <w:t xml:space="preserve">This Guidance also states that to plan and respond effectively, the police and landowners have to deal quickly with illegal and unauthorised encampments. </w:t>
      </w:r>
      <w:r w:rsidR="007525B2" w:rsidRPr="00DC0144">
        <w:t xml:space="preserve">The Guidance lists a series of questions that local authorities will want to consider including: </w:t>
      </w:r>
    </w:p>
    <w:p w14:paraId="1429BCF6" w14:textId="77777777" w:rsidR="007525B2" w:rsidRDefault="007525B2" w:rsidP="007525B2">
      <w:pPr>
        <w:numPr>
          <w:ilvl w:val="0"/>
          <w:numId w:val="9"/>
        </w:numPr>
      </w:pPr>
      <w:r>
        <w:t xml:space="preserve">Is the land particularly vulnerable to unlawful occupation/trespass? </w:t>
      </w:r>
    </w:p>
    <w:p w14:paraId="2042E53D" w14:textId="77777777" w:rsidR="007525B2" w:rsidRDefault="007525B2" w:rsidP="007525B2">
      <w:pPr>
        <w:numPr>
          <w:ilvl w:val="0"/>
          <w:numId w:val="9"/>
        </w:numPr>
      </w:pPr>
      <w:r>
        <w:t xml:space="preserve">What is the status of that land? Who is the landowner? </w:t>
      </w:r>
    </w:p>
    <w:p w14:paraId="41610DA8" w14:textId="77777777" w:rsidR="007525B2" w:rsidRDefault="007525B2" w:rsidP="007525B2">
      <w:pPr>
        <w:numPr>
          <w:ilvl w:val="0"/>
          <w:numId w:val="9"/>
        </w:numPr>
      </w:pPr>
      <w:r>
        <w:t xml:space="preserve">Do any special rules apply to that land (e.g. byelaws, statutory schemes of management, etc.) and, if so, are any of those rules relevant to the occupation/trespass activity? </w:t>
      </w:r>
    </w:p>
    <w:p w14:paraId="4355BE39" w14:textId="77777777" w:rsidR="007525B2" w:rsidRDefault="007525B2" w:rsidP="007525B2">
      <w:pPr>
        <w:numPr>
          <w:ilvl w:val="0"/>
          <w:numId w:val="9"/>
        </w:numPr>
      </w:pPr>
      <w:r>
        <w:t xml:space="preserve">Has a process been established for the local authority to be notified about any unauthorised encampments? </w:t>
      </w:r>
    </w:p>
    <w:p w14:paraId="4B6F6287" w14:textId="77777777" w:rsidR="007525B2" w:rsidRDefault="007525B2" w:rsidP="007525B2">
      <w:pPr>
        <w:numPr>
          <w:ilvl w:val="0"/>
          <w:numId w:val="9"/>
        </w:numPr>
      </w:pPr>
      <w:r>
        <w:t xml:space="preserve">If the police are notified of unauthorised encampments on local authority land, do they know who in the local authority should be notified? </w:t>
      </w:r>
    </w:p>
    <w:p w14:paraId="0B23BC5F" w14:textId="77777777" w:rsidR="007525B2" w:rsidRDefault="007525B2" w:rsidP="007525B2">
      <w:pPr>
        <w:numPr>
          <w:ilvl w:val="0"/>
          <w:numId w:val="9"/>
        </w:numPr>
      </w:pPr>
      <w:r>
        <w:t>If the power of persuasion by local authority officers (wardens/park officers/enforcement officers) does not result in people leaving the land/taking down tents, is there a clear decision making process, including liaison between councils and local police forces, on how to approach unauthorised encampments? At what level of the organisation will that decision be made? How will that decision-maker be notified?</w:t>
      </w:r>
    </w:p>
    <w:p w14:paraId="74FE4E7E" w14:textId="77777777" w:rsidR="007525B2" w:rsidRDefault="007525B2" w:rsidP="007525B2">
      <w:pPr>
        <w:ind w:left="709"/>
        <w:rPr>
          <w:rFonts w:cs="Arial"/>
          <w:color w:val="0B0C0C"/>
          <w:lang w:eastAsia="en-GB"/>
        </w:rPr>
      </w:pPr>
      <w:r>
        <w:rPr>
          <w:rFonts w:cs="Arial"/>
          <w:color w:val="0B0C0C"/>
          <w:lang w:eastAsia="en-GB"/>
        </w:rPr>
        <w:t xml:space="preserve">The Guidance also states that to plan and respond effectively local agencies should work together to consider: </w:t>
      </w:r>
    </w:p>
    <w:p w14:paraId="5B162AA3" w14:textId="77777777" w:rsidR="007525B2" w:rsidRDefault="007525B2" w:rsidP="007525B2">
      <w:pPr>
        <w:numPr>
          <w:ilvl w:val="0"/>
          <w:numId w:val="9"/>
        </w:numPr>
      </w:pPr>
      <w:r>
        <w:t>Identifying vulnerable sites;</w:t>
      </w:r>
    </w:p>
    <w:p w14:paraId="7C6E9A95" w14:textId="77777777" w:rsidR="007525B2" w:rsidRDefault="007525B2" w:rsidP="007525B2">
      <w:pPr>
        <w:numPr>
          <w:ilvl w:val="0"/>
          <w:numId w:val="9"/>
        </w:numPr>
      </w:pPr>
      <w:r>
        <w:t>Working with landowners to physically secure vulnerable sites where possible;</w:t>
      </w:r>
    </w:p>
    <w:p w14:paraId="3A2D517F" w14:textId="77777777" w:rsidR="007525B2" w:rsidRDefault="007525B2" w:rsidP="007525B2">
      <w:pPr>
        <w:numPr>
          <w:ilvl w:val="0"/>
          <w:numId w:val="9"/>
        </w:numPr>
      </w:pPr>
      <w:r>
        <w:t>Preparing any necessary paperwork, such as applications for possession orders or injunctions, in advance;</w:t>
      </w:r>
    </w:p>
    <w:p w14:paraId="779C4947" w14:textId="77777777" w:rsidR="007525B2" w:rsidRDefault="007525B2" w:rsidP="007525B2">
      <w:pPr>
        <w:numPr>
          <w:ilvl w:val="0"/>
          <w:numId w:val="9"/>
        </w:numPr>
      </w:pPr>
      <w:r>
        <w:t xml:space="preserve">Working with private landowners to inform them of their powers in relation to unauthorised encampments, including advance preparation of any necessary paperwork; </w:t>
      </w:r>
    </w:p>
    <w:p w14:paraId="41B42852" w14:textId="77777777" w:rsidR="007525B2" w:rsidRDefault="007525B2" w:rsidP="007525B2">
      <w:pPr>
        <w:numPr>
          <w:ilvl w:val="0"/>
          <w:numId w:val="9"/>
        </w:numPr>
      </w:pPr>
      <w:r>
        <w:t xml:space="preserve">Developing a clear notification and decision-making process to respond to instances of unauthorised encampments; </w:t>
      </w:r>
    </w:p>
    <w:p w14:paraId="377BB1A0" w14:textId="77777777" w:rsidR="007525B2" w:rsidRDefault="007525B2" w:rsidP="007525B2">
      <w:pPr>
        <w:numPr>
          <w:ilvl w:val="0"/>
          <w:numId w:val="9"/>
        </w:numPr>
      </w:pPr>
      <w:r>
        <w:t xml:space="preserve">The prudence of applying for injunctions where intelligence suggests there may be a planned encampment and the site of the encampment might cause disruption to others; </w:t>
      </w:r>
    </w:p>
    <w:p w14:paraId="1F5A06D1" w14:textId="77777777" w:rsidR="007525B2" w:rsidRDefault="007525B2" w:rsidP="007525B2">
      <w:pPr>
        <w:numPr>
          <w:ilvl w:val="0"/>
          <w:numId w:val="9"/>
        </w:numPr>
      </w:pPr>
      <w:r>
        <w:t>Working to ensure that local wardens, park officers or enforcement officers are aware of who they should notify in the event of unauthorised encampments;</w:t>
      </w:r>
    </w:p>
    <w:p w14:paraId="5BC44289" w14:textId="77777777" w:rsidR="007525B2" w:rsidRDefault="007525B2" w:rsidP="007525B2">
      <w:pPr>
        <w:numPr>
          <w:ilvl w:val="0"/>
          <w:numId w:val="9"/>
        </w:numPr>
      </w:pPr>
      <w:r>
        <w:t>Working to ensure that local wardens or park officers are aware of the locations of authorised campsites or other alternatives; and</w:t>
      </w:r>
    </w:p>
    <w:p w14:paraId="13396DF8" w14:textId="77777777" w:rsidR="007525B2" w:rsidRDefault="007525B2" w:rsidP="007525B2">
      <w:pPr>
        <w:numPr>
          <w:ilvl w:val="0"/>
          <w:numId w:val="9"/>
        </w:numPr>
      </w:pPr>
      <w:r>
        <w:t>Identifying sites where protests could be directed / permitted.</w:t>
      </w:r>
    </w:p>
    <w:p w14:paraId="1D3C81A9" w14:textId="77777777" w:rsidR="007525B2" w:rsidRDefault="007525B2" w:rsidP="00CF5F7C">
      <w:pPr>
        <w:keepNext/>
        <w:numPr>
          <w:ilvl w:val="1"/>
          <w:numId w:val="22"/>
        </w:numPr>
        <w:rPr>
          <w:rFonts w:cs="Arial"/>
          <w:b/>
        </w:rPr>
      </w:pPr>
      <w:r>
        <w:rPr>
          <w:rFonts w:cs="Arial"/>
          <w:b/>
        </w:rPr>
        <w:t>DCLG Planning policy for traveller sites, August 2015</w:t>
      </w:r>
    </w:p>
    <w:p w14:paraId="3546FD92" w14:textId="15691B63" w:rsidR="007525B2" w:rsidRDefault="007525B2" w:rsidP="001238ED">
      <w:pPr>
        <w:ind w:left="709"/>
        <w:rPr>
          <w:rFonts w:cs="Arial"/>
        </w:rPr>
      </w:pPr>
      <w:r>
        <w:rPr>
          <w:rFonts w:cs="Arial"/>
        </w:rPr>
        <w:t xml:space="preserve">To be read alongside the NPPF (March 2012), this national planning policy document replaces the original document of the same </w:t>
      </w:r>
      <w:r w:rsidR="00EE6DA0">
        <w:rPr>
          <w:rFonts w:cs="Arial"/>
        </w:rPr>
        <w:t>West Berkshire</w:t>
      </w:r>
      <w:r>
        <w:rPr>
          <w:rFonts w:cs="Arial"/>
        </w:rPr>
        <w:t xml:space="preserve"> (published in March 2012). </w:t>
      </w:r>
      <w:r>
        <w:rPr>
          <w:rFonts w:cs="Arial"/>
          <w:i/>
        </w:rPr>
        <w:t>Planning policy for traveller sites</w:t>
      </w:r>
      <w:r>
        <w:rPr>
          <w:rFonts w:cs="Arial"/>
        </w:rPr>
        <w:t xml:space="preserve"> sets out that, </w:t>
      </w:r>
      <w:r w:rsidRPr="0045332D">
        <w:rPr>
          <w:rFonts w:cs="Arial"/>
          <w:i/>
        </w:rPr>
        <w:t>“the Government’s overarching aim is to ensure fair and equal treatment for travellers, in a way that facilitates the traditional and nomadic way of life of travellers while respecting the interests of the settled community.”</w:t>
      </w:r>
      <w:r>
        <w:rPr>
          <w:rStyle w:val="FootnoteReference"/>
          <w:rFonts w:cs="Arial"/>
          <w:i/>
        </w:rPr>
        <w:footnoteReference w:id="40"/>
      </w:r>
    </w:p>
    <w:p w14:paraId="7F7AA752" w14:textId="77777777" w:rsidR="007525B2" w:rsidRDefault="007525B2" w:rsidP="007525B2">
      <w:pPr>
        <w:keepNext/>
        <w:ind w:left="709"/>
        <w:rPr>
          <w:rFonts w:cs="Arial"/>
        </w:rPr>
      </w:pPr>
      <w:r>
        <w:rPr>
          <w:rFonts w:cs="Arial"/>
        </w:rPr>
        <w:t>The document sets out a series of nine policies (Policy A to Policy I), which address different issues associated with traveller sites:</w:t>
      </w:r>
    </w:p>
    <w:p w14:paraId="1F71FA77" w14:textId="77777777" w:rsidR="007525B2" w:rsidRDefault="007525B2" w:rsidP="007525B2">
      <w:pPr>
        <w:pStyle w:val="bullet"/>
      </w:pPr>
      <w:r>
        <w:t>Policy A: Using evidence to plan positively and manage development,</w:t>
      </w:r>
    </w:p>
    <w:p w14:paraId="72A25C80" w14:textId="77777777" w:rsidR="007525B2" w:rsidRDefault="007525B2" w:rsidP="007525B2">
      <w:pPr>
        <w:pStyle w:val="bullet"/>
      </w:pPr>
      <w:r>
        <w:t>Policy B: Planning for traveller sites,</w:t>
      </w:r>
    </w:p>
    <w:p w14:paraId="59C3A052" w14:textId="77777777" w:rsidR="007525B2" w:rsidRDefault="007525B2" w:rsidP="007525B2">
      <w:pPr>
        <w:pStyle w:val="bullet"/>
      </w:pPr>
      <w:r>
        <w:t>Policy C: Sites in rural areas and the countryside,</w:t>
      </w:r>
    </w:p>
    <w:p w14:paraId="40EA5383" w14:textId="77777777" w:rsidR="007525B2" w:rsidRDefault="007525B2" w:rsidP="007525B2">
      <w:pPr>
        <w:pStyle w:val="bullet"/>
      </w:pPr>
      <w:r>
        <w:t>Policy D: Rural exception sites,</w:t>
      </w:r>
    </w:p>
    <w:p w14:paraId="7892ADBD" w14:textId="77777777" w:rsidR="007525B2" w:rsidRDefault="007525B2" w:rsidP="007525B2">
      <w:pPr>
        <w:pStyle w:val="bullet"/>
      </w:pPr>
      <w:r>
        <w:t>Policy E: Travellers sites in Green Belt,</w:t>
      </w:r>
    </w:p>
    <w:p w14:paraId="2E20341B" w14:textId="77777777" w:rsidR="007525B2" w:rsidRDefault="007525B2" w:rsidP="007525B2">
      <w:pPr>
        <w:pStyle w:val="bullet"/>
      </w:pPr>
      <w:r>
        <w:t>Policy F: Mixed planning use traveller sites,</w:t>
      </w:r>
    </w:p>
    <w:p w14:paraId="247BC0CF" w14:textId="77777777" w:rsidR="007525B2" w:rsidRDefault="007525B2" w:rsidP="007525B2">
      <w:pPr>
        <w:pStyle w:val="bullet"/>
      </w:pPr>
      <w:r>
        <w:t>Policy G: Major development projects,</w:t>
      </w:r>
    </w:p>
    <w:p w14:paraId="3AA0863D" w14:textId="77777777" w:rsidR="007525B2" w:rsidRDefault="007525B2" w:rsidP="007525B2">
      <w:pPr>
        <w:pStyle w:val="bullet"/>
      </w:pPr>
      <w:r>
        <w:t>Policy H: Determining planning applications for traveller sites, and</w:t>
      </w:r>
    </w:p>
    <w:p w14:paraId="3B4A9F1D" w14:textId="77777777" w:rsidR="007525B2" w:rsidRPr="006F7252" w:rsidRDefault="007525B2" w:rsidP="007525B2">
      <w:pPr>
        <w:pStyle w:val="bullet"/>
      </w:pPr>
      <w:r>
        <w:t xml:space="preserve">Policy I: Implementation. </w:t>
      </w:r>
    </w:p>
    <w:p w14:paraId="38C6E3EB" w14:textId="77777777" w:rsidR="007525B2" w:rsidRDefault="007525B2" w:rsidP="00CF5F7C">
      <w:pPr>
        <w:keepNext/>
        <w:numPr>
          <w:ilvl w:val="1"/>
          <w:numId w:val="22"/>
        </w:numPr>
        <w:rPr>
          <w:rFonts w:cs="Arial"/>
          <w:b/>
        </w:rPr>
      </w:pPr>
      <w:r>
        <w:rPr>
          <w:rFonts w:cs="Arial"/>
          <w:b/>
        </w:rPr>
        <w:t xml:space="preserve">DCLG Planning policy statement </w:t>
      </w:r>
      <w:r w:rsidRPr="00CE3F11">
        <w:rPr>
          <w:rFonts w:cs="Arial"/>
          <w:b/>
        </w:rPr>
        <w:t>on Green Belt protection and intentional unauthorised development (31</w:t>
      </w:r>
      <w:r w:rsidRPr="00CE3F11">
        <w:rPr>
          <w:rFonts w:cs="Arial"/>
          <w:b/>
          <w:vertAlign w:val="superscript"/>
        </w:rPr>
        <w:t>st</w:t>
      </w:r>
      <w:r w:rsidRPr="00CE3F11">
        <w:rPr>
          <w:rFonts w:cs="Arial"/>
          <w:b/>
        </w:rPr>
        <w:t xml:space="preserve"> August 2015)</w:t>
      </w:r>
    </w:p>
    <w:p w14:paraId="412273AE" w14:textId="77777777" w:rsidR="007525B2" w:rsidRDefault="007525B2" w:rsidP="0014458C">
      <w:pPr>
        <w:pStyle w:val="Reporttext"/>
      </w:pPr>
      <w:r w:rsidRPr="0014458C">
        <w:rPr>
          <w:rFonts w:cs="Arial"/>
        </w:rPr>
        <w:t xml:space="preserve">Issued as a letter to all Chief Planning Officers in England, this planning policy statement </w:t>
      </w:r>
      <w:r>
        <w:t xml:space="preserve">sets out changes to make intentional unauthorised development a material consideration in the determination of planning applications, and also to provide stronger protection for the Green Belt. The statement explains that the Planning Inspectorate will monitor all appeal decisions involving unauthorised development in the Green Belt, and additionally the DCLG will consider the recovery of a proportion of relevant appeals for the Secretary of State’s decision </w:t>
      </w:r>
      <w:r w:rsidRPr="0014458C">
        <w:rPr>
          <w:i/>
        </w:rPr>
        <w:t>“to enable him to illustrate how he would like his policy to apply in practice”</w:t>
      </w:r>
      <w:r>
        <w:t>, under the criteria set out in 2008.</w:t>
      </w:r>
    </w:p>
    <w:p w14:paraId="61BCB4B9" w14:textId="77777777" w:rsidR="007525B2" w:rsidRPr="00946F10" w:rsidRDefault="007525B2" w:rsidP="0014458C">
      <w:pPr>
        <w:pStyle w:val="Reporttext"/>
      </w:pPr>
      <w:r>
        <w:t>In addition, the planning policy statement of 31</w:t>
      </w:r>
      <w:r w:rsidRPr="0014458C">
        <w:rPr>
          <w:vertAlign w:val="superscript"/>
        </w:rPr>
        <w:t>st</w:t>
      </w:r>
      <w:r>
        <w:t xml:space="preserve"> August 2015 announced that the Government has cancelled the documents </w:t>
      </w:r>
      <w:r w:rsidRPr="0014458C">
        <w:rPr>
          <w:i/>
        </w:rPr>
        <w:t xml:space="preserve">Guide to the effective use of enforcement powers, Part 1 </w:t>
      </w:r>
      <w:r>
        <w:t xml:space="preserve">(2006) and </w:t>
      </w:r>
      <w:r w:rsidRPr="0014458C">
        <w:rPr>
          <w:i/>
        </w:rPr>
        <w:t xml:space="preserve">Part 2 </w:t>
      </w:r>
      <w:r>
        <w:t xml:space="preserve">(2007) and </w:t>
      </w:r>
      <w:r w:rsidRPr="0014458C">
        <w:rPr>
          <w:i/>
        </w:rPr>
        <w:t xml:space="preserve">Designing Gypsy and Traveller Sites – Good Practice Guide </w:t>
      </w:r>
      <w:r w:rsidRPr="00946F10">
        <w:t>(2008).</w:t>
      </w:r>
    </w:p>
    <w:p w14:paraId="02051634" w14:textId="77777777" w:rsidR="009B193E" w:rsidRPr="009B193E" w:rsidRDefault="007525B2" w:rsidP="00CF5F7C">
      <w:pPr>
        <w:keepNext/>
        <w:numPr>
          <w:ilvl w:val="1"/>
          <w:numId w:val="22"/>
        </w:numPr>
        <w:rPr>
          <w:rFonts w:cs="Arial"/>
          <w:b/>
        </w:rPr>
      </w:pPr>
      <w:r w:rsidRPr="00946F10">
        <w:rPr>
          <w:rFonts w:cs="Arial"/>
          <w:b/>
        </w:rPr>
        <w:t>DCLG Draft guidance to local housing authorities on the periodical review of housing needs: Caravans and Houseboats, March 2016</w:t>
      </w:r>
      <w:r w:rsidR="009B193E" w:rsidRPr="009B193E">
        <w:rPr>
          <w:rFonts w:cs="Arial"/>
        </w:rPr>
        <w:t xml:space="preserve"> </w:t>
      </w:r>
    </w:p>
    <w:p w14:paraId="1F6E073C" w14:textId="183186EF" w:rsidR="007525B2" w:rsidRDefault="009B193E" w:rsidP="0048079D">
      <w:pPr>
        <w:ind w:left="709"/>
        <w:rPr>
          <w:rFonts w:cs="Arial"/>
          <w:b/>
        </w:rPr>
      </w:pPr>
      <w:r w:rsidRPr="00946F10">
        <w:rPr>
          <w:rFonts w:cs="Arial"/>
        </w:rPr>
        <w:t xml:space="preserve">This draft guidance was published to explain how the Government wants </w:t>
      </w:r>
      <w:r w:rsidRPr="00946F10">
        <w:t>local housing authorities to interpret changes to accommodation needs assessments (as required by Section 8 of the Housing Act 1985), specifically in relation to caravans and houseboats. It makes reference to Clause 115 of the Housing and Planning Bill, which has subsequently received royal assent and became legislation on 12 May 2016. The relevant clause has become Section 124 of the Housing and Planning Act 2016</w:t>
      </w:r>
      <w:r>
        <w:t>.</w:t>
      </w:r>
    </w:p>
    <w:p w14:paraId="4E16D2B3" w14:textId="4E982A91" w:rsidR="009B193E" w:rsidRDefault="009B193E" w:rsidP="0048079D">
      <w:pPr>
        <w:ind w:left="709"/>
      </w:pPr>
      <w:r w:rsidRPr="00946F10">
        <w:t>The draft guidance explains how Government wants local housing authorities to interpret changes to accommodation needs assessments (as required by Section 8 of the Housing Act 1985), specifically in relation to caravans and houseboats.</w:t>
      </w:r>
    </w:p>
    <w:p w14:paraId="3EA5EF04" w14:textId="7D06C469" w:rsidR="009B193E" w:rsidRDefault="009B193E" w:rsidP="0048079D">
      <w:pPr>
        <w:ind w:left="709"/>
        <w:rPr>
          <w:rFonts w:cs="Arial"/>
          <w:b/>
        </w:rPr>
      </w:pPr>
      <w:r w:rsidRPr="00946F10">
        <w:t>In the carrying out of accommodation needs assessments, the draft guidance stresses the importance of close engagement with the community. The use of existing data along with conducting a specialist survey is recommended</w:t>
      </w:r>
      <w:r>
        <w:t>.</w:t>
      </w:r>
    </w:p>
    <w:p w14:paraId="281A2550" w14:textId="77777777" w:rsidR="00AF21FD" w:rsidRPr="001477C1" w:rsidRDefault="00AF21FD" w:rsidP="00AF21FD">
      <w:pPr>
        <w:keepNext/>
        <w:numPr>
          <w:ilvl w:val="1"/>
          <w:numId w:val="22"/>
        </w:numPr>
        <w:spacing w:before="0" w:after="0"/>
        <w:jc w:val="left"/>
      </w:pPr>
      <w:r w:rsidRPr="001477C1">
        <w:rPr>
          <w:rFonts w:cs="Arial"/>
          <w:b/>
        </w:rPr>
        <w:t>The</w:t>
      </w:r>
      <w:r w:rsidRPr="001477C1">
        <w:rPr>
          <w:b/>
        </w:rPr>
        <w:t xml:space="preserve"> National Planning Policy Framework July 2018</w:t>
      </w:r>
      <w:r>
        <w:rPr>
          <w:b/>
        </w:rPr>
        <w:t>/Feb 2019</w:t>
      </w:r>
    </w:p>
    <w:p w14:paraId="4FE89147" w14:textId="28E4B528" w:rsidR="00AF21FD" w:rsidRDefault="00AF21FD" w:rsidP="00C00DAC">
      <w:pPr>
        <w:keepNext/>
        <w:ind w:left="709"/>
        <w:rPr>
          <w:rFonts w:cs="Arial"/>
          <w:b/>
        </w:rPr>
      </w:pPr>
      <w:r>
        <w:t>This updates the 2012 NPPF  and provides a framework within which locally-prepared plans for housing and other development can be produced. Chapter 5 considers the delivery of a sufficient supply of homes and the size, type and tenure of housing need for different groups in the community should be assessed and reflected in planning policies. This includes travellers who meet the definition set out in the PPTS.</w:t>
      </w:r>
    </w:p>
    <w:p w14:paraId="590809C7" w14:textId="77777777" w:rsidR="007525B2" w:rsidRDefault="007525B2" w:rsidP="007525B2"/>
    <w:p w14:paraId="246C0CC8" w14:textId="77777777" w:rsidR="007525B2" w:rsidRDefault="007525B2" w:rsidP="007525B2">
      <w:pPr>
        <w:sectPr w:rsidR="007525B2" w:rsidSect="00787125">
          <w:headerReference w:type="default" r:id="rId25"/>
          <w:footerReference w:type="default" r:id="rId26"/>
          <w:pgSz w:w="11906" w:h="16838"/>
          <w:pgMar w:top="1440" w:right="1276" w:bottom="1440" w:left="1440" w:header="709" w:footer="709" w:gutter="0"/>
          <w:pgBorders w:offsetFrom="page">
            <w:top w:val="none" w:sz="0" w:space="0" w:color="000000"/>
            <w:left w:val="none" w:sz="0" w:space="0" w:color="000000"/>
            <w:bottom w:val="none" w:sz="0" w:space="0" w:color="000000"/>
            <w:right w:val="none" w:sz="0" w:space="0" w:color="000000"/>
          </w:pgBorders>
          <w:cols w:space="720"/>
          <w:docGrid w:linePitch="326"/>
        </w:sectPr>
      </w:pPr>
    </w:p>
    <w:p w14:paraId="3C665210" w14:textId="6E4FCC18" w:rsidR="002E7D22" w:rsidRDefault="007525B2" w:rsidP="0014458C">
      <w:pPr>
        <w:pStyle w:val="Heading1"/>
        <w:numPr>
          <w:ilvl w:val="0"/>
          <w:numId w:val="0"/>
        </w:numPr>
        <w:rPr>
          <w:b/>
        </w:rPr>
      </w:pPr>
      <w:bookmarkStart w:id="337" w:name="_Toc457575085"/>
      <w:bookmarkStart w:id="338" w:name="_Toc417995987"/>
      <w:bookmarkStart w:id="339" w:name="_Toc375313650"/>
      <w:bookmarkStart w:id="340" w:name="_Toc459646262"/>
      <w:bookmarkStart w:id="341" w:name="_Toc477256968"/>
      <w:bookmarkStart w:id="342" w:name="_Toc485383272"/>
      <w:bookmarkStart w:id="343" w:name="_Toc510091991"/>
      <w:bookmarkStart w:id="344" w:name="_Toc13845505"/>
      <w:bookmarkStart w:id="345" w:name="_Toc323133808"/>
      <w:r w:rsidRPr="008D544A">
        <w:t>Appendix C</w:t>
      </w:r>
      <w:r w:rsidR="007A0019">
        <w:t>:</w:t>
      </w:r>
      <w:r w:rsidRPr="008D544A">
        <w:t xml:space="preserve"> </w:t>
      </w:r>
      <w:r w:rsidR="00DD79AD">
        <w:t xml:space="preserve"> </w:t>
      </w:r>
      <w:r w:rsidRPr="008D544A">
        <w:t xml:space="preserve">Fieldwork </w:t>
      </w:r>
      <w:bookmarkEnd w:id="337"/>
      <w:bookmarkEnd w:id="338"/>
      <w:bookmarkEnd w:id="339"/>
      <w:bookmarkEnd w:id="340"/>
      <w:bookmarkEnd w:id="341"/>
      <w:r w:rsidR="007A0019">
        <w:t>q</w:t>
      </w:r>
      <w:r>
        <w:t>uestionnaire</w:t>
      </w:r>
      <w:bookmarkEnd w:id="342"/>
      <w:r w:rsidR="007A0019">
        <w:t xml:space="preserve"> for household survey</w:t>
      </w:r>
      <w:bookmarkStart w:id="346" w:name="_Toc477256976"/>
      <w:bookmarkEnd w:id="343"/>
      <w:bookmarkEnd w:id="344"/>
    </w:p>
    <w:tbl>
      <w:tblPr>
        <w:tblW w:w="5001" w:type="pct"/>
        <w:tblLayout w:type="fixed"/>
        <w:tblLook w:val="04A0" w:firstRow="1" w:lastRow="0" w:firstColumn="1" w:lastColumn="0" w:noHBand="0" w:noVBand="1"/>
      </w:tblPr>
      <w:tblGrid>
        <w:gridCol w:w="807"/>
        <w:gridCol w:w="5170"/>
        <w:gridCol w:w="9419"/>
      </w:tblGrid>
      <w:tr w:rsidR="00DD79AD" w:rsidRPr="00DD79AD" w14:paraId="6F356B3C" w14:textId="77777777" w:rsidTr="00AB5364">
        <w:trPr>
          <w:trHeight w:val="320"/>
        </w:trPr>
        <w:tc>
          <w:tcPr>
            <w:tcW w:w="262" w:type="pct"/>
            <w:tcBorders>
              <w:top w:val="nil"/>
              <w:left w:val="nil"/>
              <w:bottom w:val="nil"/>
              <w:right w:val="nil"/>
            </w:tcBorders>
            <w:shd w:val="clear" w:color="auto" w:fill="auto"/>
            <w:noWrap/>
            <w:vAlign w:val="bottom"/>
            <w:hideMark/>
          </w:tcPr>
          <w:p w14:paraId="3933A7D7" w14:textId="77777777" w:rsidR="00DD79AD" w:rsidRPr="00DD79AD" w:rsidRDefault="00DD79AD" w:rsidP="007A0019">
            <w:pPr>
              <w:spacing w:before="0" w:after="0"/>
              <w:jc w:val="left"/>
              <w:rPr>
                <w:rFonts w:asciiTheme="minorHAnsi" w:hAnsiTheme="minorHAnsi"/>
                <w:sz w:val="22"/>
                <w:szCs w:val="22"/>
                <w:lang w:eastAsia="en-GB"/>
              </w:rPr>
            </w:pPr>
          </w:p>
        </w:tc>
        <w:tc>
          <w:tcPr>
            <w:tcW w:w="167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BAA4E5"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Date and Time</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4C54AB19"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066CADD1" w14:textId="77777777" w:rsidTr="00AB5364">
        <w:trPr>
          <w:trHeight w:val="320"/>
        </w:trPr>
        <w:tc>
          <w:tcPr>
            <w:tcW w:w="262" w:type="pct"/>
            <w:tcBorders>
              <w:top w:val="nil"/>
              <w:left w:val="nil"/>
              <w:bottom w:val="nil"/>
              <w:right w:val="nil"/>
            </w:tcBorders>
            <w:shd w:val="clear" w:color="auto" w:fill="auto"/>
            <w:noWrap/>
            <w:vAlign w:val="bottom"/>
            <w:hideMark/>
          </w:tcPr>
          <w:p w14:paraId="6F5FE0D1" w14:textId="77777777" w:rsidR="00DD79AD" w:rsidRPr="00DD79AD" w:rsidRDefault="00DD79AD" w:rsidP="007A0019">
            <w:pPr>
              <w:spacing w:before="0" w:after="0"/>
              <w:jc w:val="left"/>
              <w:rPr>
                <w:rFonts w:asciiTheme="minorHAnsi" w:hAnsiTheme="minorHAnsi"/>
                <w:sz w:val="22"/>
                <w:szCs w:val="22"/>
                <w:lang w:eastAsia="en-GB"/>
              </w:rPr>
            </w:pPr>
          </w:p>
        </w:tc>
        <w:tc>
          <w:tcPr>
            <w:tcW w:w="1679" w:type="pct"/>
            <w:tcBorders>
              <w:top w:val="nil"/>
              <w:left w:val="single" w:sz="4" w:space="0" w:color="auto"/>
              <w:bottom w:val="single" w:sz="4" w:space="0" w:color="auto"/>
              <w:right w:val="single" w:sz="4" w:space="0" w:color="auto"/>
            </w:tcBorders>
            <w:shd w:val="clear" w:color="auto" w:fill="auto"/>
            <w:vAlign w:val="bottom"/>
            <w:hideMark/>
          </w:tcPr>
          <w:p w14:paraId="4C40B43A"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Site Reference</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694EEA1D"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5AB87270" w14:textId="77777777" w:rsidTr="00AB5364">
        <w:trPr>
          <w:trHeight w:val="320"/>
        </w:trPr>
        <w:tc>
          <w:tcPr>
            <w:tcW w:w="262" w:type="pct"/>
            <w:tcBorders>
              <w:top w:val="nil"/>
              <w:left w:val="nil"/>
              <w:bottom w:val="nil"/>
              <w:right w:val="nil"/>
            </w:tcBorders>
            <w:shd w:val="clear" w:color="auto" w:fill="auto"/>
            <w:noWrap/>
            <w:vAlign w:val="bottom"/>
            <w:hideMark/>
          </w:tcPr>
          <w:p w14:paraId="1254E12D" w14:textId="77777777" w:rsidR="00DD79AD" w:rsidRPr="00DD79AD" w:rsidRDefault="00DD79AD" w:rsidP="007A0019">
            <w:pPr>
              <w:spacing w:before="0" w:after="0"/>
              <w:jc w:val="left"/>
              <w:rPr>
                <w:rFonts w:asciiTheme="minorHAnsi" w:hAnsiTheme="minorHAnsi"/>
                <w:sz w:val="22"/>
                <w:szCs w:val="22"/>
                <w:lang w:eastAsia="en-GB"/>
              </w:rPr>
            </w:pPr>
          </w:p>
        </w:tc>
        <w:tc>
          <w:tcPr>
            <w:tcW w:w="1679" w:type="pct"/>
            <w:tcBorders>
              <w:top w:val="nil"/>
              <w:left w:val="single" w:sz="4" w:space="0" w:color="auto"/>
              <w:bottom w:val="single" w:sz="4" w:space="0" w:color="auto"/>
              <w:right w:val="single" w:sz="4" w:space="0" w:color="auto"/>
            </w:tcBorders>
            <w:shd w:val="clear" w:color="auto" w:fill="auto"/>
            <w:vAlign w:val="bottom"/>
            <w:hideMark/>
          </w:tcPr>
          <w:p w14:paraId="5D4F424E"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Address</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44AF84B3"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5760CD97" w14:textId="77777777" w:rsidTr="00AB5364">
        <w:trPr>
          <w:trHeight w:val="320"/>
        </w:trPr>
        <w:tc>
          <w:tcPr>
            <w:tcW w:w="262" w:type="pct"/>
            <w:tcBorders>
              <w:top w:val="nil"/>
              <w:left w:val="nil"/>
              <w:bottom w:val="nil"/>
              <w:right w:val="nil"/>
            </w:tcBorders>
            <w:shd w:val="clear" w:color="auto" w:fill="auto"/>
            <w:noWrap/>
            <w:vAlign w:val="bottom"/>
          </w:tcPr>
          <w:p w14:paraId="1257FEBB" w14:textId="77777777" w:rsidR="00DD79AD" w:rsidRPr="00DD79AD" w:rsidRDefault="00DD79AD" w:rsidP="007A0019">
            <w:pPr>
              <w:spacing w:before="0" w:after="0"/>
              <w:jc w:val="left"/>
              <w:rPr>
                <w:rFonts w:asciiTheme="minorHAnsi" w:hAnsiTheme="minorHAnsi"/>
                <w:sz w:val="22"/>
                <w:szCs w:val="22"/>
                <w:lang w:eastAsia="en-GB"/>
              </w:rPr>
            </w:pPr>
          </w:p>
        </w:tc>
        <w:tc>
          <w:tcPr>
            <w:tcW w:w="1679" w:type="pct"/>
            <w:tcBorders>
              <w:top w:val="single" w:sz="4" w:space="0" w:color="auto"/>
              <w:left w:val="single" w:sz="4" w:space="0" w:color="auto"/>
              <w:bottom w:val="single" w:sz="4" w:space="0" w:color="auto"/>
              <w:right w:val="single" w:sz="4" w:space="0" w:color="auto"/>
            </w:tcBorders>
            <w:shd w:val="clear" w:color="auto" w:fill="auto"/>
          </w:tcPr>
          <w:p w14:paraId="222960EC" w14:textId="77777777" w:rsidR="00DD79AD" w:rsidRPr="00DD79AD" w:rsidRDefault="00DD79AD" w:rsidP="002E7D22">
            <w:pPr>
              <w:spacing w:before="0" w:after="0"/>
              <w:jc w:val="left"/>
              <w:rPr>
                <w:rFonts w:asciiTheme="minorHAnsi" w:hAnsiTheme="minorHAnsi" w:cs="Arial"/>
                <w:color w:val="000000"/>
                <w:sz w:val="22"/>
                <w:szCs w:val="22"/>
              </w:rPr>
            </w:pPr>
            <w:r w:rsidRPr="00DD79AD">
              <w:rPr>
                <w:rFonts w:asciiTheme="minorHAnsi" w:hAnsiTheme="minorHAnsi" w:cs="Arial"/>
                <w:color w:val="000000"/>
                <w:sz w:val="22"/>
                <w:szCs w:val="22"/>
              </w:rPr>
              <w:t>General Data Protection Regulation (2018) and Data Protection</w:t>
            </w:r>
          </w:p>
          <w:p w14:paraId="54D3F85D" w14:textId="77777777" w:rsidR="00DD79AD" w:rsidRPr="00DD79AD" w:rsidRDefault="00DD79AD" w:rsidP="002E7D22">
            <w:pPr>
              <w:spacing w:before="0" w:after="0"/>
              <w:jc w:val="left"/>
              <w:rPr>
                <w:rFonts w:asciiTheme="minorHAnsi" w:hAnsiTheme="minorHAnsi" w:cs="Arial"/>
                <w:color w:val="000000"/>
                <w:sz w:val="22"/>
                <w:szCs w:val="22"/>
                <w:lang w:eastAsia="en-GB"/>
              </w:rPr>
            </w:pPr>
          </w:p>
        </w:tc>
        <w:tc>
          <w:tcPr>
            <w:tcW w:w="3059" w:type="pct"/>
            <w:tcBorders>
              <w:top w:val="single" w:sz="4" w:space="0" w:color="auto"/>
              <w:left w:val="nil"/>
              <w:bottom w:val="single" w:sz="4" w:space="0" w:color="auto"/>
              <w:right w:val="single" w:sz="4" w:space="0" w:color="000000"/>
            </w:tcBorders>
            <w:shd w:val="clear" w:color="auto" w:fill="auto"/>
            <w:noWrap/>
            <w:vAlign w:val="bottom"/>
          </w:tcPr>
          <w:p w14:paraId="32C4A935"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GDPR came into effect from 25th May 2018. This provides new rights for EU citizens to control personal data held about them by organisations.</w:t>
            </w:r>
          </w:p>
          <w:p w14:paraId="49EDB8BD" w14:textId="1945A014"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This study is being done for West Berkshire Council to identify if there is a need for more pitches in the Council area, A report will be prepared based on the findings of these surveys. The information you provide will not be used for any other purpose.</w:t>
            </w:r>
          </w:p>
          <w:p w14:paraId="625F85C4"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The information you provide will not be used to identify you personally, will be kept strictly confidential and not passed onto anyone.</w:t>
            </w:r>
          </w:p>
          <w:p w14:paraId="62EBFCF9" w14:textId="63679B36"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xml:space="preserve">Can you please say if you are happy to carry on with the </w:t>
            </w:r>
            <w:r w:rsidR="00367C8A" w:rsidRPr="00DD79AD">
              <w:rPr>
                <w:rFonts w:asciiTheme="minorHAnsi" w:hAnsiTheme="minorHAnsi" w:cs="Arial"/>
                <w:color w:val="000000"/>
                <w:sz w:val="22"/>
                <w:szCs w:val="22"/>
                <w:lang w:eastAsia="en-GB"/>
              </w:rPr>
              <w:t>questionnaire</w:t>
            </w:r>
            <w:r w:rsidRPr="00DD79AD">
              <w:rPr>
                <w:rFonts w:asciiTheme="minorHAnsi" w:hAnsiTheme="minorHAnsi" w:cs="Arial"/>
                <w:color w:val="000000"/>
                <w:sz w:val="22"/>
                <w:szCs w:val="22"/>
                <w:lang w:eastAsia="en-GB"/>
              </w:rPr>
              <w:t xml:space="preserve"> on this basis?      Yes                               No</w:t>
            </w:r>
          </w:p>
        </w:tc>
      </w:tr>
      <w:tr w:rsidR="00DD79AD" w:rsidRPr="00DD79AD" w14:paraId="5B9A7657" w14:textId="77777777" w:rsidTr="00AB5364">
        <w:trPr>
          <w:trHeight w:val="320"/>
        </w:trPr>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B29E5" w14:textId="77777777" w:rsidR="00DD79AD" w:rsidRPr="00DD79AD" w:rsidRDefault="00DD79AD" w:rsidP="001368B1">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1</w:t>
            </w:r>
          </w:p>
        </w:tc>
        <w:tc>
          <w:tcPr>
            <w:tcW w:w="1679" w:type="pct"/>
            <w:tcBorders>
              <w:top w:val="single" w:sz="4" w:space="0" w:color="auto"/>
              <w:left w:val="nil"/>
              <w:bottom w:val="single" w:sz="4" w:space="0" w:color="auto"/>
              <w:right w:val="single" w:sz="4" w:space="0" w:color="auto"/>
            </w:tcBorders>
            <w:shd w:val="clear" w:color="auto" w:fill="auto"/>
            <w:vAlign w:val="bottom"/>
            <w:hideMark/>
          </w:tcPr>
          <w:p w14:paraId="54533605"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Pitch/Property Type</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174C332A"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6CB10EE0" w14:textId="77777777" w:rsidTr="00AB5364">
        <w:trPr>
          <w:trHeight w:val="3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4FBAC5B7" w14:textId="77777777" w:rsidR="00DD79AD" w:rsidRPr="00DD79AD" w:rsidRDefault="00DD79AD" w:rsidP="001368B1">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2</w:t>
            </w:r>
          </w:p>
        </w:tc>
        <w:tc>
          <w:tcPr>
            <w:tcW w:w="1679" w:type="pct"/>
            <w:tcBorders>
              <w:top w:val="nil"/>
              <w:left w:val="nil"/>
              <w:bottom w:val="single" w:sz="4" w:space="0" w:color="auto"/>
              <w:right w:val="single" w:sz="4" w:space="0" w:color="auto"/>
            </w:tcBorders>
            <w:shd w:val="clear" w:color="auto" w:fill="auto"/>
            <w:vAlign w:val="bottom"/>
            <w:hideMark/>
          </w:tcPr>
          <w:p w14:paraId="4B3FDCB7" w14:textId="45202081"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No. Statics/mobiles/bricks and mortar</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6C032D26"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0AE74359" w14:textId="77777777" w:rsidTr="00AB5364">
        <w:trPr>
          <w:trHeight w:val="3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5F948914" w14:textId="77777777" w:rsidR="00DD79AD" w:rsidRPr="00DD79AD" w:rsidRDefault="00DD79AD" w:rsidP="001368B1">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3</w:t>
            </w:r>
          </w:p>
        </w:tc>
        <w:tc>
          <w:tcPr>
            <w:tcW w:w="1679" w:type="pct"/>
            <w:tcBorders>
              <w:top w:val="nil"/>
              <w:left w:val="nil"/>
              <w:bottom w:val="single" w:sz="4" w:space="0" w:color="auto"/>
              <w:right w:val="single" w:sz="4" w:space="0" w:color="auto"/>
            </w:tcBorders>
            <w:shd w:val="clear" w:color="auto" w:fill="auto"/>
            <w:vAlign w:val="bottom"/>
            <w:hideMark/>
          </w:tcPr>
          <w:p w14:paraId="605BBF12"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No. tourers</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3ABE0A94"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711DF272" w14:textId="77777777" w:rsidTr="00AB5364">
        <w:trPr>
          <w:trHeight w:val="3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650F6A19" w14:textId="77777777" w:rsidR="00DD79AD" w:rsidRPr="00DD79AD" w:rsidRDefault="00DD79AD" w:rsidP="001368B1">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4</w:t>
            </w:r>
          </w:p>
        </w:tc>
        <w:tc>
          <w:tcPr>
            <w:tcW w:w="1679" w:type="pct"/>
            <w:tcBorders>
              <w:top w:val="nil"/>
              <w:left w:val="nil"/>
              <w:bottom w:val="single" w:sz="4" w:space="0" w:color="auto"/>
              <w:right w:val="single" w:sz="4" w:space="0" w:color="auto"/>
            </w:tcBorders>
            <w:shd w:val="clear" w:color="auto" w:fill="auto"/>
            <w:vAlign w:val="bottom"/>
            <w:hideMark/>
          </w:tcPr>
          <w:p w14:paraId="1B6626D6"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Description of pitch occupancy</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38ECACD8"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68502D1B" w14:textId="77777777" w:rsidTr="00AB5364">
        <w:trPr>
          <w:trHeight w:val="3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24EB010B" w14:textId="77777777" w:rsidR="00DD79AD" w:rsidRPr="00DD79AD" w:rsidRDefault="00DD79AD" w:rsidP="001368B1">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5</w:t>
            </w:r>
          </w:p>
        </w:tc>
        <w:tc>
          <w:tcPr>
            <w:tcW w:w="1679" w:type="pct"/>
            <w:tcBorders>
              <w:top w:val="nil"/>
              <w:left w:val="nil"/>
              <w:bottom w:val="single" w:sz="4" w:space="0" w:color="auto"/>
              <w:right w:val="single" w:sz="4" w:space="0" w:color="auto"/>
            </w:tcBorders>
            <w:shd w:val="clear" w:color="auto" w:fill="auto"/>
            <w:vAlign w:val="bottom"/>
            <w:hideMark/>
          </w:tcPr>
          <w:p w14:paraId="6693BFC3"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No. households</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4D308198"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76F6ED73" w14:textId="77777777" w:rsidTr="00AB5364">
        <w:trPr>
          <w:trHeight w:val="3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66DF483D" w14:textId="77777777" w:rsidR="00DD79AD" w:rsidRPr="00DD79AD" w:rsidRDefault="00DD79AD" w:rsidP="001368B1">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6</w:t>
            </w:r>
          </w:p>
        </w:tc>
        <w:tc>
          <w:tcPr>
            <w:tcW w:w="1679" w:type="pct"/>
            <w:tcBorders>
              <w:top w:val="nil"/>
              <w:left w:val="nil"/>
              <w:bottom w:val="single" w:sz="4" w:space="0" w:color="auto"/>
              <w:right w:val="single" w:sz="4" w:space="0" w:color="auto"/>
            </w:tcBorders>
            <w:shd w:val="clear" w:color="auto" w:fill="auto"/>
            <w:vAlign w:val="bottom"/>
            <w:hideMark/>
          </w:tcPr>
          <w:p w14:paraId="1EE3276D"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No. concealed households</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0B6C3D38"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7CBCA2BF" w14:textId="77777777" w:rsidTr="00AB5364">
        <w:trPr>
          <w:trHeight w:val="320"/>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7A0050B5" w14:textId="77777777" w:rsidR="00DD79AD" w:rsidRPr="00DD79AD" w:rsidRDefault="00DD79AD" w:rsidP="001368B1">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7</w:t>
            </w:r>
          </w:p>
        </w:tc>
        <w:tc>
          <w:tcPr>
            <w:tcW w:w="1679" w:type="pct"/>
            <w:tcBorders>
              <w:top w:val="nil"/>
              <w:left w:val="nil"/>
              <w:bottom w:val="single" w:sz="4" w:space="0" w:color="auto"/>
              <w:right w:val="single" w:sz="4" w:space="0" w:color="auto"/>
            </w:tcBorders>
            <w:shd w:val="clear" w:color="auto" w:fill="auto"/>
            <w:vAlign w:val="bottom"/>
            <w:hideMark/>
          </w:tcPr>
          <w:p w14:paraId="79251A60" w14:textId="560CDD7D"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No. doubled up households</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1F71C100"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254646E8" w14:textId="77777777" w:rsidTr="00AB5364">
        <w:trPr>
          <w:trHeight w:val="320"/>
        </w:trPr>
        <w:tc>
          <w:tcPr>
            <w:tcW w:w="262" w:type="pct"/>
            <w:tcBorders>
              <w:top w:val="nil"/>
              <w:left w:val="single" w:sz="4" w:space="0" w:color="auto"/>
              <w:bottom w:val="single" w:sz="4" w:space="0" w:color="auto"/>
              <w:right w:val="single" w:sz="4" w:space="0" w:color="auto"/>
            </w:tcBorders>
            <w:shd w:val="clear" w:color="auto" w:fill="auto"/>
            <w:noWrap/>
            <w:hideMark/>
          </w:tcPr>
          <w:p w14:paraId="6BBC788A" w14:textId="77777777" w:rsidR="00DD79AD" w:rsidRPr="00DD79AD" w:rsidRDefault="00DD79AD" w:rsidP="000B421F">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8</w:t>
            </w:r>
          </w:p>
        </w:tc>
        <w:tc>
          <w:tcPr>
            <w:tcW w:w="1679" w:type="pct"/>
            <w:tcBorders>
              <w:top w:val="nil"/>
              <w:left w:val="nil"/>
              <w:bottom w:val="single" w:sz="4" w:space="0" w:color="auto"/>
              <w:right w:val="single" w:sz="4" w:space="0" w:color="auto"/>
            </w:tcBorders>
            <w:shd w:val="clear" w:color="auto" w:fill="auto"/>
            <w:hideMark/>
          </w:tcPr>
          <w:p w14:paraId="3869296A" w14:textId="76D9B2D0" w:rsidR="00DD79AD" w:rsidRPr="00DD79AD" w:rsidRDefault="00DD79AD" w:rsidP="000B421F">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Does anyone else use this pitch as their home? If so, who?</w:t>
            </w:r>
          </w:p>
        </w:tc>
        <w:tc>
          <w:tcPr>
            <w:tcW w:w="3059" w:type="pct"/>
            <w:tcBorders>
              <w:top w:val="single" w:sz="4" w:space="0" w:color="auto"/>
              <w:left w:val="nil"/>
              <w:bottom w:val="single" w:sz="4" w:space="0" w:color="auto"/>
              <w:right w:val="single" w:sz="4" w:space="0" w:color="000000"/>
            </w:tcBorders>
            <w:shd w:val="clear" w:color="auto" w:fill="auto"/>
            <w:noWrap/>
            <w:vAlign w:val="bottom"/>
            <w:hideMark/>
          </w:tcPr>
          <w:p w14:paraId="356694E9" w14:textId="77777777" w:rsidR="00DD79AD" w:rsidRPr="00DD79AD" w:rsidRDefault="00DD79AD" w:rsidP="007A0019">
            <w:pPr>
              <w:spacing w:before="0" w:after="0"/>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bl>
    <w:p w14:paraId="1A3CF9DC" w14:textId="77777777" w:rsidR="00AB5364" w:rsidRDefault="00AB5364">
      <w:r>
        <w:br w:type="page"/>
      </w:r>
    </w:p>
    <w:tbl>
      <w:tblPr>
        <w:tblW w:w="5039" w:type="pct"/>
        <w:tblLayout w:type="fixed"/>
        <w:tblLook w:val="04A0" w:firstRow="1" w:lastRow="0" w:firstColumn="1" w:lastColumn="0" w:noHBand="0" w:noVBand="1"/>
      </w:tblPr>
      <w:tblGrid>
        <w:gridCol w:w="807"/>
        <w:gridCol w:w="5171"/>
        <w:gridCol w:w="2377"/>
        <w:gridCol w:w="1676"/>
        <w:gridCol w:w="1257"/>
        <w:gridCol w:w="4056"/>
        <w:gridCol w:w="174"/>
      </w:tblGrid>
      <w:tr w:rsidR="007368D7" w:rsidRPr="007368D7" w14:paraId="215AC81C" w14:textId="77777777" w:rsidTr="007368D7">
        <w:tc>
          <w:tcPr>
            <w:tcW w:w="5000" w:type="pct"/>
            <w:gridSpan w:val="7"/>
            <w:tcBorders>
              <w:bottom w:val="single" w:sz="4" w:space="0" w:color="auto"/>
            </w:tcBorders>
            <w:shd w:val="clear" w:color="auto" w:fill="auto"/>
            <w:noWrap/>
            <w:vAlign w:val="center"/>
            <w:hideMark/>
          </w:tcPr>
          <w:p w14:paraId="53D677E3" w14:textId="77777777" w:rsidR="007368D7" w:rsidRDefault="007368D7" w:rsidP="007368D7">
            <w:pPr>
              <w:spacing w:beforeLines="20" w:before="48" w:afterLines="20" w:after="48"/>
              <w:jc w:val="left"/>
              <w:rPr>
                <w:rFonts w:asciiTheme="minorHAnsi" w:hAnsiTheme="minorHAnsi" w:cs="Arial"/>
                <w:b/>
                <w:bCs/>
                <w:color w:val="000000"/>
                <w:szCs w:val="22"/>
                <w:lang w:eastAsia="en-GB"/>
              </w:rPr>
            </w:pPr>
            <w:r w:rsidRPr="007368D7">
              <w:rPr>
                <w:rFonts w:asciiTheme="minorHAnsi" w:hAnsiTheme="minorHAnsi" w:cs="Arial"/>
                <w:b/>
                <w:bCs/>
                <w:color w:val="000000"/>
                <w:szCs w:val="22"/>
                <w:lang w:eastAsia="en-GB"/>
              </w:rPr>
              <w:t>Household characteristics</w:t>
            </w:r>
          </w:p>
          <w:p w14:paraId="287BBF8C" w14:textId="09FD41EB" w:rsidR="007368D7" w:rsidRPr="007368D7" w:rsidRDefault="007368D7" w:rsidP="007368D7">
            <w:pPr>
              <w:spacing w:beforeLines="20" w:before="48" w:afterLines="20" w:after="48"/>
              <w:jc w:val="left"/>
              <w:rPr>
                <w:rFonts w:asciiTheme="minorHAnsi" w:hAnsiTheme="minorHAnsi"/>
                <w:szCs w:val="22"/>
                <w:lang w:eastAsia="en-GB"/>
              </w:rPr>
            </w:pPr>
          </w:p>
        </w:tc>
      </w:tr>
      <w:tr w:rsidR="00AB5364" w:rsidRPr="00DD79AD" w14:paraId="2C417B24" w14:textId="77777777" w:rsidTr="007368D7">
        <w:tc>
          <w:tcPr>
            <w:tcW w:w="260" w:type="pct"/>
            <w:tcBorders>
              <w:top w:val="single" w:sz="4" w:space="0" w:color="auto"/>
              <w:left w:val="single" w:sz="4" w:space="0" w:color="auto"/>
              <w:bottom w:val="single" w:sz="4" w:space="0" w:color="auto"/>
              <w:right w:val="nil"/>
            </w:tcBorders>
            <w:shd w:val="clear" w:color="auto" w:fill="auto"/>
            <w:noWrap/>
            <w:vAlign w:val="center"/>
            <w:hideMark/>
          </w:tcPr>
          <w:p w14:paraId="32BB8C86" w14:textId="7B4A1238" w:rsidR="00DD79AD" w:rsidRPr="00DD79AD" w:rsidRDefault="00AB5364" w:rsidP="007368D7">
            <w:pPr>
              <w:spacing w:beforeLines="20" w:before="48" w:afterLines="20" w:after="48"/>
              <w:jc w:val="center"/>
              <w:rPr>
                <w:rFonts w:asciiTheme="minorHAnsi" w:hAnsiTheme="minorHAnsi"/>
                <w:sz w:val="22"/>
                <w:szCs w:val="22"/>
                <w:lang w:eastAsia="en-GB"/>
              </w:rPr>
            </w:pPr>
            <w:r>
              <w:rPr>
                <w:rFonts w:asciiTheme="minorHAnsi" w:hAnsiTheme="minorHAnsi"/>
                <w:sz w:val="22"/>
                <w:szCs w:val="22"/>
                <w:lang w:eastAsia="en-GB"/>
              </w:rPr>
              <w:t>9</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ACCEA" w14:textId="77777777" w:rsidR="00DD79AD" w:rsidRPr="00DD79AD" w:rsidRDefault="00DD79AD" w:rsidP="007368D7">
            <w:pPr>
              <w:spacing w:beforeLines="20" w:before="48" w:afterLines="20" w:after="48"/>
              <w:jc w:val="left"/>
              <w:rPr>
                <w:rFonts w:asciiTheme="minorHAnsi" w:hAnsiTheme="minorHAnsi" w:cs="Arial"/>
                <w:b/>
                <w:bCs/>
                <w:color w:val="000000"/>
                <w:sz w:val="22"/>
                <w:szCs w:val="22"/>
                <w:lang w:eastAsia="en-GB"/>
              </w:rPr>
            </w:pPr>
            <w:r w:rsidRPr="00DD79AD">
              <w:rPr>
                <w:rFonts w:asciiTheme="minorHAnsi" w:hAnsiTheme="minorHAnsi" w:cs="Arial"/>
                <w:b/>
                <w:bCs/>
                <w:color w:val="000000"/>
                <w:sz w:val="22"/>
                <w:szCs w:val="22"/>
                <w:lang w:eastAsia="en-GB"/>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19641DDA" w14:textId="77777777" w:rsidR="00DD79AD" w:rsidRPr="00DD79AD" w:rsidRDefault="00DD79AD" w:rsidP="007368D7">
            <w:pPr>
              <w:spacing w:beforeLines="20" w:before="48" w:afterLines="20" w:after="48"/>
              <w:jc w:val="left"/>
              <w:rPr>
                <w:rFonts w:asciiTheme="minorHAnsi" w:hAnsiTheme="minorHAnsi" w:cs="Arial"/>
                <w:bCs/>
                <w:color w:val="000000"/>
                <w:sz w:val="22"/>
                <w:szCs w:val="22"/>
                <w:lang w:eastAsia="en-GB"/>
              </w:rPr>
            </w:pPr>
            <w:r w:rsidRPr="00DD79AD">
              <w:rPr>
                <w:rFonts w:asciiTheme="minorHAnsi" w:hAnsiTheme="minorHAnsi" w:cs="Arial"/>
                <w:bCs/>
                <w:color w:val="000000"/>
                <w:sz w:val="22"/>
                <w:szCs w:val="22"/>
                <w:lang w:eastAsia="en-GB"/>
              </w:rPr>
              <w:t xml:space="preserve">Gender </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30D9FCCD" w14:textId="77777777" w:rsidR="00DD79AD" w:rsidRPr="00DD79AD" w:rsidRDefault="00DD79AD" w:rsidP="007368D7">
            <w:pPr>
              <w:spacing w:beforeLines="20" w:before="48" w:afterLines="20" w:after="48"/>
              <w:jc w:val="left"/>
              <w:rPr>
                <w:rFonts w:asciiTheme="minorHAnsi" w:hAnsiTheme="minorHAnsi" w:cs="Arial"/>
                <w:bCs/>
                <w:color w:val="000000"/>
                <w:sz w:val="22"/>
                <w:szCs w:val="22"/>
                <w:lang w:eastAsia="en-GB"/>
              </w:rPr>
            </w:pPr>
            <w:r w:rsidRPr="00DD79AD">
              <w:rPr>
                <w:rFonts w:asciiTheme="minorHAnsi" w:hAnsiTheme="minorHAnsi" w:cs="Arial"/>
                <w:bCs/>
                <w:color w:val="000000"/>
                <w:sz w:val="22"/>
                <w:szCs w:val="22"/>
                <w:lang w:eastAsia="en-GB"/>
              </w:rPr>
              <w:t>Age</w:t>
            </w:r>
          </w:p>
        </w:tc>
        <w:tc>
          <w:tcPr>
            <w:tcW w:w="1768" w:type="pct"/>
            <w:gridSpan w:val="3"/>
            <w:tcBorders>
              <w:top w:val="single" w:sz="4" w:space="0" w:color="auto"/>
              <w:left w:val="nil"/>
              <w:bottom w:val="single" w:sz="4" w:space="0" w:color="auto"/>
              <w:right w:val="single" w:sz="4" w:space="0" w:color="auto"/>
            </w:tcBorders>
            <w:shd w:val="clear" w:color="auto" w:fill="auto"/>
            <w:vAlign w:val="center"/>
            <w:hideMark/>
          </w:tcPr>
          <w:p w14:paraId="35C41EB0" w14:textId="77777777" w:rsidR="00DD79AD" w:rsidRPr="00DD79AD" w:rsidRDefault="00DD79AD" w:rsidP="007368D7">
            <w:pPr>
              <w:spacing w:beforeLines="20" w:before="48" w:afterLines="20" w:after="48"/>
              <w:jc w:val="left"/>
              <w:rPr>
                <w:rFonts w:asciiTheme="minorHAnsi" w:hAnsiTheme="minorHAnsi" w:cs="Arial"/>
                <w:bCs/>
                <w:color w:val="000000"/>
                <w:sz w:val="22"/>
                <w:szCs w:val="22"/>
                <w:lang w:eastAsia="en-GB"/>
              </w:rPr>
            </w:pPr>
            <w:r w:rsidRPr="00DD79AD">
              <w:rPr>
                <w:rFonts w:asciiTheme="minorHAnsi" w:hAnsiTheme="minorHAnsi" w:cs="Arial"/>
                <w:bCs/>
                <w:color w:val="000000"/>
                <w:sz w:val="22"/>
                <w:szCs w:val="22"/>
                <w:lang w:eastAsia="en-GB"/>
              </w:rPr>
              <w:t>Relationship to respondent</w:t>
            </w:r>
          </w:p>
        </w:tc>
      </w:tr>
      <w:tr w:rsidR="00AB5364" w:rsidRPr="00DD79AD" w14:paraId="43F75347" w14:textId="77777777" w:rsidTr="007368D7">
        <w:tc>
          <w:tcPr>
            <w:tcW w:w="260" w:type="pct"/>
            <w:tcBorders>
              <w:top w:val="single" w:sz="4" w:space="0" w:color="auto"/>
              <w:left w:val="nil"/>
              <w:bottom w:val="nil"/>
              <w:right w:val="nil"/>
            </w:tcBorders>
            <w:shd w:val="clear" w:color="auto" w:fill="auto"/>
            <w:noWrap/>
            <w:vAlign w:val="bottom"/>
            <w:hideMark/>
          </w:tcPr>
          <w:p w14:paraId="671DE42D" w14:textId="77777777" w:rsidR="00DD79AD" w:rsidRPr="00DD79AD" w:rsidRDefault="00DD79AD" w:rsidP="007368D7">
            <w:pPr>
              <w:spacing w:beforeLines="20" w:before="48" w:afterLines="20" w:after="48"/>
              <w:jc w:val="left"/>
              <w:rPr>
                <w:rFonts w:asciiTheme="minorHAnsi" w:hAnsiTheme="minorHAnsi"/>
                <w:sz w:val="22"/>
                <w:szCs w:val="22"/>
                <w:lang w:eastAsia="en-GB"/>
              </w:rPr>
            </w:pPr>
          </w:p>
        </w:tc>
        <w:tc>
          <w:tcPr>
            <w:tcW w:w="1666" w:type="pct"/>
            <w:tcBorders>
              <w:top w:val="nil"/>
              <w:left w:val="single" w:sz="4" w:space="0" w:color="auto"/>
              <w:bottom w:val="single" w:sz="4" w:space="0" w:color="auto"/>
              <w:right w:val="single" w:sz="4" w:space="0" w:color="auto"/>
            </w:tcBorders>
            <w:shd w:val="clear" w:color="auto" w:fill="auto"/>
            <w:vAlign w:val="center"/>
            <w:hideMark/>
          </w:tcPr>
          <w:p w14:paraId="00C772DC"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Respondent</w:t>
            </w:r>
          </w:p>
        </w:tc>
        <w:tc>
          <w:tcPr>
            <w:tcW w:w="766" w:type="pct"/>
            <w:tcBorders>
              <w:top w:val="nil"/>
              <w:left w:val="nil"/>
              <w:bottom w:val="single" w:sz="4" w:space="0" w:color="auto"/>
              <w:right w:val="single" w:sz="4" w:space="0" w:color="auto"/>
            </w:tcBorders>
            <w:shd w:val="clear" w:color="auto" w:fill="auto"/>
            <w:vAlign w:val="center"/>
            <w:hideMark/>
          </w:tcPr>
          <w:p w14:paraId="7E8E1399"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540" w:type="pct"/>
            <w:tcBorders>
              <w:top w:val="nil"/>
              <w:left w:val="nil"/>
              <w:bottom w:val="single" w:sz="4" w:space="0" w:color="auto"/>
              <w:right w:val="single" w:sz="4" w:space="0" w:color="auto"/>
            </w:tcBorders>
            <w:shd w:val="clear" w:color="auto" w:fill="auto"/>
            <w:vAlign w:val="center"/>
            <w:hideMark/>
          </w:tcPr>
          <w:p w14:paraId="2B92BED5"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1768" w:type="pct"/>
            <w:gridSpan w:val="3"/>
            <w:tcBorders>
              <w:top w:val="nil"/>
              <w:left w:val="nil"/>
              <w:bottom w:val="single" w:sz="4" w:space="0" w:color="auto"/>
              <w:right w:val="single" w:sz="4" w:space="0" w:color="auto"/>
            </w:tcBorders>
            <w:shd w:val="diagStripe" w:color="000000" w:fill="auto"/>
            <w:vAlign w:val="center"/>
            <w:hideMark/>
          </w:tcPr>
          <w:p w14:paraId="37AFC620"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7368D7" w:rsidRPr="00DD79AD" w14:paraId="463C6D18" w14:textId="77777777" w:rsidTr="007368D7">
        <w:tc>
          <w:tcPr>
            <w:tcW w:w="260" w:type="pct"/>
            <w:tcBorders>
              <w:top w:val="nil"/>
              <w:left w:val="nil"/>
              <w:bottom w:val="nil"/>
              <w:right w:val="nil"/>
            </w:tcBorders>
            <w:shd w:val="clear" w:color="auto" w:fill="auto"/>
            <w:noWrap/>
            <w:vAlign w:val="bottom"/>
            <w:hideMark/>
          </w:tcPr>
          <w:p w14:paraId="0242A5FC" w14:textId="77777777" w:rsidR="00DD79AD" w:rsidRPr="00DD79AD" w:rsidRDefault="00DD79AD" w:rsidP="007368D7">
            <w:pPr>
              <w:spacing w:beforeLines="20" w:before="48" w:afterLines="20" w:after="48"/>
              <w:jc w:val="left"/>
              <w:rPr>
                <w:rFonts w:asciiTheme="minorHAnsi" w:hAnsiTheme="minorHAnsi"/>
                <w:sz w:val="22"/>
                <w:szCs w:val="22"/>
                <w:lang w:eastAsia="en-GB"/>
              </w:rPr>
            </w:pPr>
          </w:p>
        </w:tc>
        <w:tc>
          <w:tcPr>
            <w:tcW w:w="1666" w:type="pct"/>
            <w:tcBorders>
              <w:top w:val="nil"/>
              <w:left w:val="single" w:sz="4" w:space="0" w:color="auto"/>
              <w:bottom w:val="single" w:sz="4" w:space="0" w:color="auto"/>
              <w:right w:val="single" w:sz="4" w:space="0" w:color="auto"/>
            </w:tcBorders>
            <w:shd w:val="clear" w:color="auto" w:fill="auto"/>
            <w:vAlign w:val="center"/>
            <w:hideMark/>
          </w:tcPr>
          <w:p w14:paraId="51E66A32"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Person 2</w:t>
            </w:r>
          </w:p>
        </w:tc>
        <w:tc>
          <w:tcPr>
            <w:tcW w:w="766" w:type="pct"/>
            <w:tcBorders>
              <w:top w:val="nil"/>
              <w:left w:val="nil"/>
              <w:bottom w:val="single" w:sz="4" w:space="0" w:color="auto"/>
              <w:right w:val="single" w:sz="4" w:space="0" w:color="auto"/>
            </w:tcBorders>
            <w:shd w:val="clear" w:color="auto" w:fill="auto"/>
            <w:vAlign w:val="center"/>
            <w:hideMark/>
          </w:tcPr>
          <w:p w14:paraId="0F84DC1B"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540" w:type="pct"/>
            <w:tcBorders>
              <w:top w:val="nil"/>
              <w:left w:val="nil"/>
              <w:bottom w:val="single" w:sz="4" w:space="0" w:color="auto"/>
              <w:right w:val="single" w:sz="4" w:space="0" w:color="auto"/>
            </w:tcBorders>
            <w:shd w:val="clear" w:color="auto" w:fill="auto"/>
            <w:vAlign w:val="center"/>
            <w:hideMark/>
          </w:tcPr>
          <w:p w14:paraId="76FCBD6A"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1768" w:type="pct"/>
            <w:gridSpan w:val="3"/>
            <w:tcBorders>
              <w:top w:val="nil"/>
              <w:left w:val="nil"/>
              <w:bottom w:val="single" w:sz="4" w:space="0" w:color="auto"/>
              <w:right w:val="single" w:sz="4" w:space="0" w:color="auto"/>
            </w:tcBorders>
            <w:shd w:val="clear" w:color="auto" w:fill="auto"/>
            <w:vAlign w:val="center"/>
            <w:hideMark/>
          </w:tcPr>
          <w:p w14:paraId="58FB81E5"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7368D7" w:rsidRPr="00DD79AD" w14:paraId="750A4A77" w14:textId="77777777" w:rsidTr="007368D7">
        <w:tc>
          <w:tcPr>
            <w:tcW w:w="260" w:type="pct"/>
            <w:tcBorders>
              <w:top w:val="nil"/>
              <w:left w:val="nil"/>
              <w:bottom w:val="nil"/>
              <w:right w:val="nil"/>
            </w:tcBorders>
            <w:shd w:val="clear" w:color="auto" w:fill="auto"/>
            <w:noWrap/>
            <w:vAlign w:val="bottom"/>
            <w:hideMark/>
          </w:tcPr>
          <w:p w14:paraId="17321B98" w14:textId="77777777" w:rsidR="00DD79AD" w:rsidRPr="00DD79AD" w:rsidRDefault="00DD79AD" w:rsidP="007368D7">
            <w:pPr>
              <w:spacing w:beforeLines="20" w:before="48" w:afterLines="20" w:after="48"/>
              <w:jc w:val="left"/>
              <w:rPr>
                <w:rFonts w:asciiTheme="minorHAnsi" w:hAnsiTheme="minorHAnsi"/>
                <w:sz w:val="22"/>
                <w:szCs w:val="22"/>
                <w:lang w:eastAsia="en-GB"/>
              </w:rPr>
            </w:pPr>
          </w:p>
        </w:tc>
        <w:tc>
          <w:tcPr>
            <w:tcW w:w="1666" w:type="pct"/>
            <w:tcBorders>
              <w:top w:val="nil"/>
              <w:left w:val="single" w:sz="4" w:space="0" w:color="auto"/>
              <w:bottom w:val="single" w:sz="4" w:space="0" w:color="auto"/>
              <w:right w:val="single" w:sz="4" w:space="0" w:color="auto"/>
            </w:tcBorders>
            <w:shd w:val="clear" w:color="auto" w:fill="auto"/>
            <w:vAlign w:val="center"/>
            <w:hideMark/>
          </w:tcPr>
          <w:p w14:paraId="785962F1"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Person 3</w:t>
            </w:r>
          </w:p>
        </w:tc>
        <w:tc>
          <w:tcPr>
            <w:tcW w:w="766" w:type="pct"/>
            <w:tcBorders>
              <w:top w:val="nil"/>
              <w:left w:val="nil"/>
              <w:bottom w:val="single" w:sz="4" w:space="0" w:color="auto"/>
              <w:right w:val="single" w:sz="4" w:space="0" w:color="auto"/>
            </w:tcBorders>
            <w:shd w:val="clear" w:color="auto" w:fill="auto"/>
            <w:vAlign w:val="center"/>
            <w:hideMark/>
          </w:tcPr>
          <w:p w14:paraId="1835B7C1"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540" w:type="pct"/>
            <w:tcBorders>
              <w:top w:val="nil"/>
              <w:left w:val="nil"/>
              <w:bottom w:val="single" w:sz="4" w:space="0" w:color="auto"/>
              <w:right w:val="single" w:sz="4" w:space="0" w:color="auto"/>
            </w:tcBorders>
            <w:shd w:val="clear" w:color="auto" w:fill="auto"/>
            <w:vAlign w:val="center"/>
            <w:hideMark/>
          </w:tcPr>
          <w:p w14:paraId="5FD738DC"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1768" w:type="pct"/>
            <w:gridSpan w:val="3"/>
            <w:tcBorders>
              <w:top w:val="nil"/>
              <w:left w:val="nil"/>
              <w:bottom w:val="single" w:sz="4" w:space="0" w:color="auto"/>
              <w:right w:val="single" w:sz="4" w:space="0" w:color="auto"/>
            </w:tcBorders>
            <w:shd w:val="clear" w:color="auto" w:fill="auto"/>
            <w:vAlign w:val="center"/>
            <w:hideMark/>
          </w:tcPr>
          <w:p w14:paraId="5EAD3047"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753DEA" w:rsidRPr="00DD79AD" w14:paraId="3A314129" w14:textId="77777777" w:rsidTr="007368D7">
        <w:trPr>
          <w:gridAfter w:val="1"/>
          <w:wAfter w:w="56" w:type="pct"/>
        </w:trPr>
        <w:tc>
          <w:tcPr>
            <w:tcW w:w="260" w:type="pct"/>
            <w:tcBorders>
              <w:top w:val="nil"/>
              <w:left w:val="nil"/>
              <w:bottom w:val="nil"/>
              <w:right w:val="nil"/>
            </w:tcBorders>
            <w:shd w:val="clear" w:color="auto" w:fill="auto"/>
            <w:noWrap/>
            <w:vAlign w:val="bottom"/>
            <w:hideMark/>
          </w:tcPr>
          <w:p w14:paraId="26D7A60D" w14:textId="4105B2C3" w:rsidR="00DD79AD" w:rsidRPr="00DD79AD" w:rsidRDefault="00DD79AD" w:rsidP="007368D7">
            <w:pPr>
              <w:spacing w:beforeLines="20" w:before="48" w:afterLines="20" w:after="48"/>
              <w:jc w:val="left"/>
              <w:rPr>
                <w:rFonts w:asciiTheme="minorHAnsi" w:hAnsiTheme="minorHAnsi"/>
                <w:sz w:val="22"/>
                <w:szCs w:val="22"/>
                <w:lang w:eastAsia="en-GB"/>
              </w:rPr>
            </w:pP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A0D13"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Person 4</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2EA46F44"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754D439D"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1712" w:type="pct"/>
            <w:gridSpan w:val="2"/>
            <w:tcBorders>
              <w:top w:val="single" w:sz="4" w:space="0" w:color="auto"/>
              <w:left w:val="nil"/>
              <w:bottom w:val="single" w:sz="4" w:space="0" w:color="auto"/>
              <w:right w:val="single" w:sz="4" w:space="0" w:color="auto"/>
            </w:tcBorders>
            <w:shd w:val="clear" w:color="auto" w:fill="auto"/>
            <w:vAlign w:val="center"/>
            <w:hideMark/>
          </w:tcPr>
          <w:p w14:paraId="3027DBEA"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753DEA" w:rsidRPr="00DD79AD" w14:paraId="31DB0160" w14:textId="77777777" w:rsidTr="007368D7">
        <w:trPr>
          <w:gridAfter w:val="1"/>
          <w:wAfter w:w="56" w:type="pct"/>
        </w:trPr>
        <w:tc>
          <w:tcPr>
            <w:tcW w:w="260" w:type="pct"/>
            <w:tcBorders>
              <w:top w:val="nil"/>
              <w:left w:val="nil"/>
              <w:bottom w:val="nil"/>
              <w:right w:val="nil"/>
            </w:tcBorders>
            <w:shd w:val="clear" w:color="auto" w:fill="auto"/>
            <w:noWrap/>
            <w:vAlign w:val="bottom"/>
            <w:hideMark/>
          </w:tcPr>
          <w:p w14:paraId="0E9D8482" w14:textId="77777777" w:rsidR="00DD79AD" w:rsidRPr="00DD79AD" w:rsidRDefault="00DD79AD" w:rsidP="007368D7">
            <w:pPr>
              <w:spacing w:beforeLines="20" w:before="48" w:afterLines="20" w:after="48"/>
              <w:jc w:val="left"/>
              <w:rPr>
                <w:rFonts w:asciiTheme="minorHAnsi" w:hAnsiTheme="minorHAnsi"/>
                <w:sz w:val="22"/>
                <w:szCs w:val="22"/>
                <w:lang w:eastAsia="en-GB"/>
              </w:rPr>
            </w:pPr>
          </w:p>
        </w:tc>
        <w:tc>
          <w:tcPr>
            <w:tcW w:w="1666" w:type="pct"/>
            <w:tcBorders>
              <w:top w:val="nil"/>
              <w:left w:val="single" w:sz="4" w:space="0" w:color="auto"/>
              <w:bottom w:val="single" w:sz="4" w:space="0" w:color="auto"/>
              <w:right w:val="single" w:sz="4" w:space="0" w:color="auto"/>
            </w:tcBorders>
            <w:shd w:val="clear" w:color="auto" w:fill="auto"/>
            <w:vAlign w:val="center"/>
            <w:hideMark/>
          </w:tcPr>
          <w:p w14:paraId="4BF1350F"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Person 5</w:t>
            </w:r>
          </w:p>
        </w:tc>
        <w:tc>
          <w:tcPr>
            <w:tcW w:w="766" w:type="pct"/>
            <w:tcBorders>
              <w:top w:val="nil"/>
              <w:left w:val="nil"/>
              <w:bottom w:val="single" w:sz="4" w:space="0" w:color="auto"/>
              <w:right w:val="single" w:sz="4" w:space="0" w:color="auto"/>
            </w:tcBorders>
            <w:shd w:val="clear" w:color="auto" w:fill="auto"/>
            <w:vAlign w:val="center"/>
            <w:hideMark/>
          </w:tcPr>
          <w:p w14:paraId="7F8D6560"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540" w:type="pct"/>
            <w:tcBorders>
              <w:top w:val="nil"/>
              <w:left w:val="nil"/>
              <w:bottom w:val="single" w:sz="4" w:space="0" w:color="auto"/>
              <w:right w:val="single" w:sz="4" w:space="0" w:color="auto"/>
            </w:tcBorders>
            <w:shd w:val="clear" w:color="auto" w:fill="auto"/>
            <w:vAlign w:val="center"/>
            <w:hideMark/>
          </w:tcPr>
          <w:p w14:paraId="6E770769"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1712" w:type="pct"/>
            <w:gridSpan w:val="2"/>
            <w:tcBorders>
              <w:top w:val="nil"/>
              <w:left w:val="nil"/>
              <w:bottom w:val="single" w:sz="4" w:space="0" w:color="auto"/>
              <w:right w:val="single" w:sz="4" w:space="0" w:color="auto"/>
            </w:tcBorders>
            <w:shd w:val="clear" w:color="auto" w:fill="auto"/>
            <w:vAlign w:val="center"/>
            <w:hideMark/>
          </w:tcPr>
          <w:p w14:paraId="67644AF1"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753DEA" w:rsidRPr="00DD79AD" w14:paraId="47251388" w14:textId="77777777" w:rsidTr="007368D7">
        <w:trPr>
          <w:gridAfter w:val="1"/>
          <w:wAfter w:w="56" w:type="pct"/>
        </w:trPr>
        <w:tc>
          <w:tcPr>
            <w:tcW w:w="260" w:type="pct"/>
            <w:tcBorders>
              <w:top w:val="nil"/>
              <w:left w:val="nil"/>
              <w:bottom w:val="nil"/>
              <w:right w:val="nil"/>
            </w:tcBorders>
            <w:shd w:val="clear" w:color="auto" w:fill="auto"/>
            <w:noWrap/>
            <w:vAlign w:val="bottom"/>
            <w:hideMark/>
          </w:tcPr>
          <w:p w14:paraId="39D09BF6" w14:textId="77777777" w:rsidR="00DD79AD" w:rsidRPr="00DD79AD" w:rsidRDefault="00DD79AD" w:rsidP="007368D7">
            <w:pPr>
              <w:spacing w:beforeLines="20" w:before="48" w:afterLines="20" w:after="48"/>
              <w:jc w:val="left"/>
              <w:rPr>
                <w:rFonts w:asciiTheme="minorHAnsi" w:hAnsiTheme="minorHAnsi"/>
                <w:sz w:val="22"/>
                <w:szCs w:val="22"/>
                <w:lang w:eastAsia="en-GB"/>
              </w:rPr>
            </w:pPr>
          </w:p>
        </w:tc>
        <w:tc>
          <w:tcPr>
            <w:tcW w:w="1666" w:type="pct"/>
            <w:tcBorders>
              <w:top w:val="nil"/>
              <w:left w:val="single" w:sz="4" w:space="0" w:color="auto"/>
              <w:bottom w:val="single" w:sz="4" w:space="0" w:color="auto"/>
              <w:right w:val="single" w:sz="4" w:space="0" w:color="auto"/>
            </w:tcBorders>
            <w:shd w:val="clear" w:color="auto" w:fill="auto"/>
            <w:vAlign w:val="center"/>
            <w:hideMark/>
          </w:tcPr>
          <w:p w14:paraId="12FC0F47"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Person 6</w:t>
            </w:r>
          </w:p>
        </w:tc>
        <w:tc>
          <w:tcPr>
            <w:tcW w:w="766" w:type="pct"/>
            <w:tcBorders>
              <w:top w:val="nil"/>
              <w:left w:val="nil"/>
              <w:bottom w:val="single" w:sz="4" w:space="0" w:color="auto"/>
              <w:right w:val="single" w:sz="4" w:space="0" w:color="auto"/>
            </w:tcBorders>
            <w:shd w:val="clear" w:color="auto" w:fill="auto"/>
            <w:vAlign w:val="center"/>
            <w:hideMark/>
          </w:tcPr>
          <w:p w14:paraId="6AE2C146"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540" w:type="pct"/>
            <w:tcBorders>
              <w:top w:val="nil"/>
              <w:left w:val="nil"/>
              <w:bottom w:val="single" w:sz="4" w:space="0" w:color="auto"/>
              <w:right w:val="single" w:sz="4" w:space="0" w:color="auto"/>
            </w:tcBorders>
            <w:shd w:val="clear" w:color="auto" w:fill="auto"/>
            <w:vAlign w:val="center"/>
            <w:hideMark/>
          </w:tcPr>
          <w:p w14:paraId="181D9A43"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1712" w:type="pct"/>
            <w:gridSpan w:val="2"/>
            <w:tcBorders>
              <w:top w:val="nil"/>
              <w:left w:val="nil"/>
              <w:bottom w:val="single" w:sz="4" w:space="0" w:color="auto"/>
              <w:right w:val="single" w:sz="4" w:space="0" w:color="auto"/>
            </w:tcBorders>
            <w:shd w:val="clear" w:color="auto" w:fill="auto"/>
            <w:vAlign w:val="center"/>
            <w:hideMark/>
          </w:tcPr>
          <w:p w14:paraId="42B3AB52"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753DEA" w:rsidRPr="00DD79AD" w14:paraId="5C5D2416" w14:textId="77777777" w:rsidTr="007368D7">
        <w:trPr>
          <w:gridAfter w:val="1"/>
          <w:wAfter w:w="56" w:type="pct"/>
        </w:trPr>
        <w:tc>
          <w:tcPr>
            <w:tcW w:w="260" w:type="pct"/>
            <w:tcBorders>
              <w:top w:val="nil"/>
              <w:left w:val="nil"/>
              <w:bottom w:val="nil"/>
              <w:right w:val="nil"/>
            </w:tcBorders>
            <w:shd w:val="clear" w:color="auto" w:fill="auto"/>
            <w:noWrap/>
            <w:vAlign w:val="bottom"/>
            <w:hideMark/>
          </w:tcPr>
          <w:p w14:paraId="746B2684" w14:textId="77777777" w:rsidR="00DD79AD" w:rsidRPr="00DD79AD" w:rsidRDefault="00DD79AD" w:rsidP="007368D7">
            <w:pPr>
              <w:spacing w:beforeLines="20" w:before="48" w:afterLines="20" w:after="48"/>
              <w:jc w:val="left"/>
              <w:rPr>
                <w:rFonts w:asciiTheme="minorHAnsi" w:hAnsiTheme="minorHAnsi"/>
                <w:sz w:val="22"/>
                <w:szCs w:val="22"/>
                <w:lang w:eastAsia="en-GB"/>
              </w:rPr>
            </w:pPr>
          </w:p>
        </w:tc>
        <w:tc>
          <w:tcPr>
            <w:tcW w:w="1666" w:type="pct"/>
            <w:tcBorders>
              <w:top w:val="nil"/>
              <w:left w:val="single" w:sz="4" w:space="0" w:color="auto"/>
              <w:bottom w:val="single" w:sz="4" w:space="0" w:color="auto"/>
              <w:right w:val="single" w:sz="4" w:space="0" w:color="auto"/>
            </w:tcBorders>
            <w:shd w:val="clear" w:color="auto" w:fill="auto"/>
            <w:vAlign w:val="center"/>
            <w:hideMark/>
          </w:tcPr>
          <w:p w14:paraId="4DB18C31"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Person 7</w:t>
            </w:r>
          </w:p>
        </w:tc>
        <w:tc>
          <w:tcPr>
            <w:tcW w:w="766" w:type="pct"/>
            <w:tcBorders>
              <w:top w:val="nil"/>
              <w:left w:val="nil"/>
              <w:bottom w:val="single" w:sz="4" w:space="0" w:color="auto"/>
              <w:right w:val="single" w:sz="4" w:space="0" w:color="auto"/>
            </w:tcBorders>
            <w:shd w:val="clear" w:color="auto" w:fill="auto"/>
            <w:vAlign w:val="center"/>
            <w:hideMark/>
          </w:tcPr>
          <w:p w14:paraId="2F5BFF8E"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540" w:type="pct"/>
            <w:tcBorders>
              <w:top w:val="nil"/>
              <w:left w:val="nil"/>
              <w:bottom w:val="single" w:sz="4" w:space="0" w:color="auto"/>
              <w:right w:val="single" w:sz="4" w:space="0" w:color="auto"/>
            </w:tcBorders>
            <w:shd w:val="clear" w:color="auto" w:fill="auto"/>
            <w:vAlign w:val="center"/>
            <w:hideMark/>
          </w:tcPr>
          <w:p w14:paraId="7767B68F"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1712" w:type="pct"/>
            <w:gridSpan w:val="2"/>
            <w:tcBorders>
              <w:top w:val="nil"/>
              <w:left w:val="nil"/>
              <w:bottom w:val="single" w:sz="4" w:space="0" w:color="auto"/>
              <w:right w:val="single" w:sz="4" w:space="0" w:color="auto"/>
            </w:tcBorders>
            <w:shd w:val="clear" w:color="auto" w:fill="auto"/>
            <w:vAlign w:val="center"/>
            <w:hideMark/>
          </w:tcPr>
          <w:p w14:paraId="60D39331"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753DEA" w:rsidRPr="00DD79AD" w14:paraId="362DE526" w14:textId="77777777" w:rsidTr="007368D7">
        <w:trPr>
          <w:gridAfter w:val="1"/>
          <w:wAfter w:w="56" w:type="pct"/>
        </w:trPr>
        <w:tc>
          <w:tcPr>
            <w:tcW w:w="260" w:type="pct"/>
            <w:tcBorders>
              <w:top w:val="nil"/>
              <w:left w:val="nil"/>
              <w:bottom w:val="nil"/>
              <w:right w:val="nil"/>
            </w:tcBorders>
            <w:shd w:val="clear" w:color="auto" w:fill="auto"/>
            <w:noWrap/>
            <w:vAlign w:val="bottom"/>
            <w:hideMark/>
          </w:tcPr>
          <w:p w14:paraId="7C3E4D4F" w14:textId="77777777" w:rsidR="00DD79AD" w:rsidRPr="00DD79AD" w:rsidRDefault="00DD79AD" w:rsidP="007368D7">
            <w:pPr>
              <w:spacing w:beforeLines="20" w:before="48" w:afterLines="20" w:after="48"/>
              <w:jc w:val="left"/>
              <w:rPr>
                <w:rFonts w:asciiTheme="minorHAnsi" w:hAnsiTheme="minorHAnsi"/>
                <w:sz w:val="22"/>
                <w:szCs w:val="22"/>
                <w:lang w:eastAsia="en-GB"/>
              </w:rPr>
            </w:pPr>
          </w:p>
        </w:tc>
        <w:tc>
          <w:tcPr>
            <w:tcW w:w="1666" w:type="pct"/>
            <w:tcBorders>
              <w:top w:val="nil"/>
              <w:left w:val="single" w:sz="4" w:space="0" w:color="auto"/>
              <w:bottom w:val="single" w:sz="4" w:space="0" w:color="auto"/>
              <w:right w:val="single" w:sz="4" w:space="0" w:color="auto"/>
            </w:tcBorders>
            <w:shd w:val="clear" w:color="auto" w:fill="auto"/>
            <w:vAlign w:val="center"/>
            <w:hideMark/>
          </w:tcPr>
          <w:p w14:paraId="7D28D06C"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Person 8</w:t>
            </w:r>
          </w:p>
        </w:tc>
        <w:tc>
          <w:tcPr>
            <w:tcW w:w="766" w:type="pct"/>
            <w:tcBorders>
              <w:top w:val="nil"/>
              <w:left w:val="nil"/>
              <w:bottom w:val="single" w:sz="4" w:space="0" w:color="auto"/>
              <w:right w:val="single" w:sz="4" w:space="0" w:color="auto"/>
            </w:tcBorders>
            <w:shd w:val="clear" w:color="auto" w:fill="auto"/>
            <w:vAlign w:val="center"/>
            <w:hideMark/>
          </w:tcPr>
          <w:p w14:paraId="21D0C1D6"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540" w:type="pct"/>
            <w:tcBorders>
              <w:top w:val="nil"/>
              <w:left w:val="nil"/>
              <w:bottom w:val="single" w:sz="4" w:space="0" w:color="auto"/>
              <w:right w:val="single" w:sz="4" w:space="0" w:color="auto"/>
            </w:tcBorders>
            <w:shd w:val="clear" w:color="auto" w:fill="auto"/>
            <w:vAlign w:val="center"/>
            <w:hideMark/>
          </w:tcPr>
          <w:p w14:paraId="60A8F94B"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c>
          <w:tcPr>
            <w:tcW w:w="1712" w:type="pct"/>
            <w:gridSpan w:val="2"/>
            <w:tcBorders>
              <w:top w:val="nil"/>
              <w:left w:val="nil"/>
              <w:bottom w:val="single" w:sz="4" w:space="0" w:color="auto"/>
              <w:right w:val="single" w:sz="4" w:space="0" w:color="auto"/>
            </w:tcBorders>
            <w:shd w:val="clear" w:color="auto" w:fill="auto"/>
            <w:vAlign w:val="center"/>
            <w:hideMark/>
          </w:tcPr>
          <w:p w14:paraId="4D70A82F" w14:textId="77777777" w:rsidR="00DD79AD" w:rsidRPr="00DD79AD" w:rsidRDefault="00DD79AD" w:rsidP="007368D7">
            <w:pPr>
              <w:spacing w:beforeLines="20" w:before="48" w:afterLines="20" w:after="48"/>
              <w:jc w:val="left"/>
              <w:rPr>
                <w:rFonts w:asciiTheme="minorHAnsi" w:hAnsiTheme="minorHAnsi" w:cs="Arial"/>
                <w:color w:val="000000"/>
                <w:sz w:val="22"/>
                <w:szCs w:val="22"/>
                <w:lang w:eastAsia="en-GB"/>
              </w:rPr>
            </w:pPr>
            <w:r w:rsidRPr="00DD79AD">
              <w:rPr>
                <w:rFonts w:asciiTheme="minorHAnsi" w:hAnsiTheme="minorHAnsi" w:cs="Arial"/>
                <w:color w:val="000000"/>
                <w:sz w:val="22"/>
                <w:szCs w:val="22"/>
                <w:lang w:eastAsia="en-GB"/>
              </w:rPr>
              <w:t> </w:t>
            </w:r>
          </w:p>
        </w:tc>
      </w:tr>
      <w:tr w:rsidR="00DD79AD" w:rsidRPr="00DD79AD" w14:paraId="56F6A1F9" w14:textId="77777777" w:rsidTr="007368D7">
        <w:trPr>
          <w:gridAfter w:val="1"/>
          <w:wAfter w:w="56" w:type="pct"/>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CA412" w14:textId="0642B6BF"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10</w:t>
            </w:r>
          </w:p>
        </w:tc>
        <w:tc>
          <w:tcPr>
            <w:tcW w:w="3377" w:type="pct"/>
            <w:gridSpan w:val="4"/>
            <w:tcBorders>
              <w:top w:val="single" w:sz="4" w:space="0" w:color="auto"/>
              <w:left w:val="nil"/>
              <w:bottom w:val="single" w:sz="4" w:space="0" w:color="auto"/>
              <w:right w:val="single" w:sz="4" w:space="0" w:color="auto"/>
            </w:tcBorders>
            <w:shd w:val="clear" w:color="auto" w:fill="auto"/>
            <w:vAlign w:val="center"/>
            <w:hideMark/>
          </w:tcPr>
          <w:p w14:paraId="74EF0207"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Ethnicity</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14:paraId="102DCF4A"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 </w:t>
            </w:r>
          </w:p>
        </w:tc>
      </w:tr>
      <w:tr w:rsidR="00DD79AD" w:rsidRPr="00DD79AD" w14:paraId="7728860D" w14:textId="77777777" w:rsidTr="007368D7">
        <w:trPr>
          <w:gridAfter w:val="1"/>
          <w:wAfter w:w="56" w:type="pct"/>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14:paraId="4EB0BA67"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11</w:t>
            </w:r>
          </w:p>
        </w:tc>
        <w:tc>
          <w:tcPr>
            <w:tcW w:w="3377" w:type="pct"/>
            <w:gridSpan w:val="4"/>
            <w:tcBorders>
              <w:top w:val="nil"/>
              <w:left w:val="nil"/>
              <w:bottom w:val="single" w:sz="4" w:space="0" w:color="auto"/>
              <w:right w:val="single" w:sz="4" w:space="0" w:color="auto"/>
            </w:tcBorders>
            <w:shd w:val="clear" w:color="auto" w:fill="auto"/>
            <w:vAlign w:val="center"/>
            <w:hideMark/>
          </w:tcPr>
          <w:p w14:paraId="6CEBDF4D"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How many bedspaces are there on your pitch?</w:t>
            </w:r>
          </w:p>
        </w:tc>
        <w:tc>
          <w:tcPr>
            <w:tcW w:w="1307" w:type="pct"/>
            <w:tcBorders>
              <w:top w:val="nil"/>
              <w:left w:val="nil"/>
              <w:bottom w:val="single" w:sz="4" w:space="0" w:color="auto"/>
              <w:right w:val="single" w:sz="4" w:space="0" w:color="auto"/>
            </w:tcBorders>
            <w:shd w:val="clear" w:color="auto" w:fill="auto"/>
            <w:noWrap/>
            <w:vAlign w:val="bottom"/>
            <w:hideMark/>
          </w:tcPr>
          <w:p w14:paraId="2FE27DAB"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 </w:t>
            </w:r>
          </w:p>
        </w:tc>
      </w:tr>
      <w:tr w:rsidR="00DD79AD" w:rsidRPr="00DD79AD" w14:paraId="5B688416" w14:textId="77777777" w:rsidTr="007368D7">
        <w:trPr>
          <w:gridAfter w:val="1"/>
          <w:wAfter w:w="56" w:type="pct"/>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14:paraId="68AB9A08"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12</w:t>
            </w:r>
          </w:p>
        </w:tc>
        <w:tc>
          <w:tcPr>
            <w:tcW w:w="3377" w:type="pct"/>
            <w:gridSpan w:val="4"/>
            <w:tcBorders>
              <w:top w:val="nil"/>
              <w:left w:val="nil"/>
              <w:bottom w:val="single" w:sz="4" w:space="0" w:color="auto"/>
              <w:right w:val="single" w:sz="4" w:space="0" w:color="auto"/>
            </w:tcBorders>
            <w:shd w:val="clear" w:color="auto" w:fill="auto"/>
            <w:vAlign w:val="center"/>
            <w:hideMark/>
          </w:tcPr>
          <w:p w14:paraId="1A4101BF"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Overcrowding of home</w:t>
            </w:r>
          </w:p>
        </w:tc>
        <w:tc>
          <w:tcPr>
            <w:tcW w:w="1307" w:type="pct"/>
            <w:tcBorders>
              <w:top w:val="nil"/>
              <w:left w:val="nil"/>
              <w:bottom w:val="single" w:sz="4" w:space="0" w:color="auto"/>
              <w:right w:val="single" w:sz="4" w:space="0" w:color="auto"/>
            </w:tcBorders>
            <w:shd w:val="clear" w:color="auto" w:fill="auto"/>
            <w:noWrap/>
            <w:vAlign w:val="bottom"/>
            <w:hideMark/>
          </w:tcPr>
          <w:p w14:paraId="4AECB1E3"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Y / N</w:t>
            </w:r>
          </w:p>
        </w:tc>
      </w:tr>
      <w:tr w:rsidR="00DD79AD" w:rsidRPr="00DD79AD" w14:paraId="3AC828DC" w14:textId="77777777" w:rsidTr="007368D7">
        <w:trPr>
          <w:gridAfter w:val="1"/>
          <w:wAfter w:w="56" w:type="pct"/>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14:paraId="53A01F13"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13</w:t>
            </w:r>
          </w:p>
        </w:tc>
        <w:tc>
          <w:tcPr>
            <w:tcW w:w="3377" w:type="pct"/>
            <w:gridSpan w:val="4"/>
            <w:tcBorders>
              <w:top w:val="nil"/>
              <w:left w:val="nil"/>
              <w:bottom w:val="single" w:sz="4" w:space="0" w:color="auto"/>
              <w:right w:val="single" w:sz="4" w:space="0" w:color="auto"/>
            </w:tcBorders>
            <w:shd w:val="clear" w:color="auto" w:fill="auto"/>
            <w:vAlign w:val="center"/>
            <w:hideMark/>
          </w:tcPr>
          <w:p w14:paraId="40D50900"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Overcrowding of pitch</w:t>
            </w:r>
          </w:p>
        </w:tc>
        <w:tc>
          <w:tcPr>
            <w:tcW w:w="1307" w:type="pct"/>
            <w:tcBorders>
              <w:top w:val="nil"/>
              <w:left w:val="nil"/>
              <w:bottom w:val="single" w:sz="4" w:space="0" w:color="auto"/>
              <w:right w:val="single" w:sz="4" w:space="0" w:color="auto"/>
            </w:tcBorders>
            <w:shd w:val="clear" w:color="auto" w:fill="auto"/>
            <w:noWrap/>
            <w:vAlign w:val="bottom"/>
            <w:hideMark/>
          </w:tcPr>
          <w:p w14:paraId="47C70A75"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Y / N</w:t>
            </w:r>
          </w:p>
        </w:tc>
      </w:tr>
      <w:tr w:rsidR="00DD79AD" w:rsidRPr="00DD79AD" w14:paraId="5ACDC25F" w14:textId="77777777" w:rsidTr="007368D7">
        <w:trPr>
          <w:gridAfter w:val="1"/>
          <w:wAfter w:w="56" w:type="pct"/>
        </w:trPr>
        <w:tc>
          <w:tcPr>
            <w:tcW w:w="260" w:type="pct"/>
            <w:tcBorders>
              <w:top w:val="nil"/>
              <w:left w:val="single" w:sz="4" w:space="0" w:color="auto"/>
              <w:bottom w:val="single" w:sz="4" w:space="0" w:color="auto"/>
              <w:right w:val="single" w:sz="4" w:space="0" w:color="auto"/>
            </w:tcBorders>
            <w:shd w:val="clear" w:color="auto" w:fill="auto"/>
            <w:noWrap/>
            <w:vAlign w:val="center"/>
          </w:tcPr>
          <w:p w14:paraId="4A3DFCBE" w14:textId="5DAA8CBE"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14a</w:t>
            </w:r>
          </w:p>
        </w:tc>
        <w:tc>
          <w:tcPr>
            <w:tcW w:w="3377" w:type="pct"/>
            <w:gridSpan w:val="4"/>
            <w:tcBorders>
              <w:top w:val="nil"/>
              <w:left w:val="nil"/>
              <w:bottom w:val="single" w:sz="4" w:space="0" w:color="auto"/>
              <w:right w:val="single" w:sz="4" w:space="0" w:color="auto"/>
            </w:tcBorders>
            <w:shd w:val="clear" w:color="auto" w:fill="auto"/>
            <w:vAlign w:val="center"/>
          </w:tcPr>
          <w:p w14:paraId="4715D13A" w14:textId="29BD1F4E"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Thinking back to when you were 15, were you living on a site, on the roadside or living in bricks and mortar housing</w:t>
            </w:r>
          </w:p>
        </w:tc>
        <w:tc>
          <w:tcPr>
            <w:tcW w:w="1307" w:type="pct"/>
            <w:tcBorders>
              <w:top w:val="nil"/>
              <w:left w:val="nil"/>
              <w:bottom w:val="single" w:sz="4" w:space="0" w:color="auto"/>
              <w:right w:val="single" w:sz="4" w:space="0" w:color="auto"/>
            </w:tcBorders>
            <w:shd w:val="clear" w:color="auto" w:fill="auto"/>
            <w:noWrap/>
            <w:vAlign w:val="bottom"/>
          </w:tcPr>
          <w:p w14:paraId="2B086D7F" w14:textId="253A8FA5"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S, R, B&amp;M</w:t>
            </w:r>
          </w:p>
        </w:tc>
      </w:tr>
      <w:tr w:rsidR="00DD79AD" w:rsidRPr="00DD79AD" w14:paraId="4ED617B9" w14:textId="77777777" w:rsidTr="007368D7">
        <w:trPr>
          <w:gridAfter w:val="1"/>
          <w:wAfter w:w="56" w:type="pct"/>
        </w:trPr>
        <w:tc>
          <w:tcPr>
            <w:tcW w:w="260" w:type="pct"/>
            <w:tcBorders>
              <w:top w:val="nil"/>
              <w:left w:val="single" w:sz="4" w:space="0" w:color="auto"/>
              <w:bottom w:val="single" w:sz="4" w:space="0" w:color="auto"/>
              <w:right w:val="single" w:sz="4" w:space="0" w:color="auto"/>
            </w:tcBorders>
            <w:shd w:val="clear" w:color="auto" w:fill="auto"/>
            <w:noWrap/>
            <w:vAlign w:val="center"/>
          </w:tcPr>
          <w:p w14:paraId="22A69380" w14:textId="2953029D"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14b</w:t>
            </w:r>
          </w:p>
        </w:tc>
        <w:tc>
          <w:tcPr>
            <w:tcW w:w="3377" w:type="pct"/>
            <w:gridSpan w:val="4"/>
            <w:tcBorders>
              <w:top w:val="nil"/>
              <w:left w:val="nil"/>
              <w:bottom w:val="single" w:sz="4" w:space="0" w:color="auto"/>
              <w:right w:val="single" w:sz="4" w:space="0" w:color="auto"/>
            </w:tcBorders>
            <w:shd w:val="clear" w:color="auto" w:fill="auto"/>
            <w:vAlign w:val="center"/>
          </w:tcPr>
          <w:p w14:paraId="6B7558EF" w14:textId="4260E77A" w:rsidR="00DD79AD" w:rsidRPr="00DD79AD" w:rsidRDefault="00DD79AD" w:rsidP="007368D7">
            <w:pPr>
              <w:spacing w:beforeLines="20" w:before="48" w:afterLines="20" w:after="48"/>
              <w:jc w:val="left"/>
              <w:rPr>
                <w:rFonts w:asciiTheme="minorHAnsi" w:hAnsiTheme="minorHAnsi" w:cs="Arial"/>
                <w:color w:val="000000"/>
                <w:sz w:val="22"/>
                <w:lang w:eastAsia="en-GB"/>
              </w:rPr>
            </w:pPr>
            <w:r w:rsidRPr="00DD79AD">
              <w:rPr>
                <w:rFonts w:asciiTheme="minorHAnsi" w:hAnsiTheme="minorHAnsi" w:cs="Arial"/>
                <w:color w:val="000000"/>
                <w:sz w:val="22"/>
                <w:lang w:eastAsia="en-GB"/>
              </w:rPr>
              <w:t>Where were you living? Record district/settlement name</w:t>
            </w:r>
          </w:p>
        </w:tc>
        <w:tc>
          <w:tcPr>
            <w:tcW w:w="1307" w:type="pct"/>
            <w:tcBorders>
              <w:top w:val="nil"/>
              <w:left w:val="nil"/>
              <w:bottom w:val="single" w:sz="4" w:space="0" w:color="auto"/>
              <w:right w:val="single" w:sz="4" w:space="0" w:color="auto"/>
            </w:tcBorders>
            <w:shd w:val="clear" w:color="auto" w:fill="auto"/>
            <w:noWrap/>
            <w:vAlign w:val="bottom"/>
          </w:tcPr>
          <w:p w14:paraId="0FE1B4F3" w14:textId="77777777" w:rsidR="00DD79AD" w:rsidRPr="00DD79AD" w:rsidRDefault="00DD79AD" w:rsidP="007368D7">
            <w:pPr>
              <w:spacing w:beforeLines="20" w:before="48" w:afterLines="20" w:after="48"/>
              <w:jc w:val="left"/>
              <w:rPr>
                <w:rFonts w:asciiTheme="minorHAnsi" w:hAnsiTheme="minorHAnsi" w:cs="Arial"/>
                <w:color w:val="000000"/>
                <w:sz w:val="22"/>
                <w:lang w:eastAsia="en-GB"/>
              </w:rPr>
            </w:pPr>
          </w:p>
        </w:tc>
      </w:tr>
    </w:tbl>
    <w:p w14:paraId="18A45A94" w14:textId="77777777" w:rsidR="00060C96" w:rsidRDefault="00060C96">
      <w:r>
        <w:br w:type="page"/>
      </w:r>
    </w:p>
    <w:tbl>
      <w:tblPr>
        <w:tblW w:w="5000" w:type="pct"/>
        <w:tblLook w:val="04A0" w:firstRow="1" w:lastRow="0" w:firstColumn="1" w:lastColumn="0" w:noHBand="0" w:noVBand="1"/>
      </w:tblPr>
      <w:tblGrid>
        <w:gridCol w:w="879"/>
        <w:gridCol w:w="10424"/>
        <w:gridCol w:w="4095"/>
      </w:tblGrid>
      <w:tr w:rsidR="007368D7" w:rsidRPr="007368D7" w14:paraId="24B826DF" w14:textId="77777777" w:rsidTr="007368D7">
        <w:trPr>
          <w:trHeight w:val="320"/>
        </w:trPr>
        <w:tc>
          <w:tcPr>
            <w:tcW w:w="5000" w:type="pct"/>
            <w:gridSpan w:val="3"/>
            <w:tcBorders>
              <w:top w:val="nil"/>
              <w:left w:val="nil"/>
              <w:bottom w:val="single" w:sz="4" w:space="0" w:color="auto"/>
              <w:right w:val="nil"/>
            </w:tcBorders>
            <w:shd w:val="clear" w:color="auto" w:fill="auto"/>
            <w:noWrap/>
            <w:vAlign w:val="bottom"/>
            <w:hideMark/>
          </w:tcPr>
          <w:p w14:paraId="7C52CA12" w14:textId="3523DD84" w:rsidR="007368D7" w:rsidRPr="007368D7" w:rsidRDefault="007368D7" w:rsidP="007A0019">
            <w:pPr>
              <w:spacing w:before="0" w:after="0"/>
              <w:jc w:val="left"/>
              <w:rPr>
                <w:rFonts w:asciiTheme="minorHAnsi" w:hAnsiTheme="minorHAnsi" w:cs="Arial"/>
                <w:b/>
                <w:bCs/>
                <w:color w:val="000000"/>
                <w:lang w:eastAsia="en-GB"/>
              </w:rPr>
            </w:pPr>
            <w:r w:rsidRPr="007368D7">
              <w:rPr>
                <w:rFonts w:asciiTheme="minorHAnsi" w:hAnsiTheme="minorHAnsi" w:cs="Arial"/>
                <w:color w:val="000000"/>
                <w:lang w:eastAsia="en-GB"/>
              </w:rPr>
              <w:t> </w:t>
            </w:r>
            <w:r w:rsidRPr="007368D7">
              <w:rPr>
                <w:rFonts w:asciiTheme="minorHAnsi" w:hAnsiTheme="minorHAnsi" w:cs="Arial"/>
                <w:b/>
                <w:bCs/>
                <w:color w:val="000000"/>
                <w:lang w:eastAsia="en-GB"/>
              </w:rPr>
              <w:t>Travelling questions</w:t>
            </w:r>
          </w:p>
          <w:p w14:paraId="49A252F5" w14:textId="613D00C1" w:rsidR="007368D7" w:rsidRPr="007368D7" w:rsidRDefault="007368D7" w:rsidP="007A0019">
            <w:pPr>
              <w:spacing w:before="0" w:after="0"/>
              <w:jc w:val="left"/>
              <w:rPr>
                <w:rFonts w:asciiTheme="minorHAnsi" w:hAnsiTheme="minorHAnsi" w:cs="Arial"/>
                <w:color w:val="000000"/>
                <w:lang w:eastAsia="en-GB"/>
              </w:rPr>
            </w:pPr>
            <w:r w:rsidRPr="007368D7">
              <w:rPr>
                <w:rFonts w:asciiTheme="minorHAnsi" w:hAnsiTheme="minorHAnsi" w:cs="Arial"/>
                <w:color w:val="000000"/>
                <w:lang w:eastAsia="en-GB"/>
              </w:rPr>
              <w:t> </w:t>
            </w:r>
          </w:p>
        </w:tc>
      </w:tr>
      <w:tr w:rsidR="00AB5364" w:rsidRPr="007368D7" w14:paraId="6E30D089" w14:textId="77777777" w:rsidTr="007368D7">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14:paraId="203F515C" w14:textId="244215F3"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In 2015, the Government changed its definition of Gypsies and Travellers for planning purposes. To be recognised as a Gypsy Traveller you or someone in your household has to travel. I'm now going to ask a few questions about whether you or someone in your household travels.</w:t>
            </w:r>
          </w:p>
        </w:tc>
      </w:tr>
      <w:tr w:rsidR="00AB5364" w:rsidRPr="007368D7" w14:paraId="690EAA5B"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47B800B8" w14:textId="2D461475"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15</w:t>
            </w:r>
          </w:p>
        </w:tc>
        <w:tc>
          <w:tcPr>
            <w:tcW w:w="3414" w:type="pct"/>
            <w:tcBorders>
              <w:top w:val="nil"/>
              <w:left w:val="nil"/>
              <w:bottom w:val="single" w:sz="4" w:space="0" w:color="auto"/>
              <w:right w:val="single" w:sz="4" w:space="0" w:color="auto"/>
            </w:tcBorders>
            <w:shd w:val="clear" w:color="auto" w:fill="auto"/>
            <w:vAlign w:val="center"/>
            <w:hideMark/>
          </w:tcPr>
          <w:p w14:paraId="79006629"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In the last year have you or someone in your household travelled</w:t>
            </w:r>
          </w:p>
        </w:tc>
        <w:tc>
          <w:tcPr>
            <w:tcW w:w="1324" w:type="pct"/>
            <w:tcBorders>
              <w:top w:val="nil"/>
              <w:left w:val="nil"/>
              <w:bottom w:val="single" w:sz="4" w:space="0" w:color="auto"/>
              <w:right w:val="single" w:sz="4" w:space="0" w:color="auto"/>
            </w:tcBorders>
            <w:shd w:val="clear" w:color="auto" w:fill="auto"/>
            <w:noWrap/>
            <w:vAlign w:val="bottom"/>
            <w:hideMark/>
          </w:tcPr>
          <w:p w14:paraId="1F5C3280"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AB5364" w:rsidRPr="007368D7" w14:paraId="6751FE2B"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72AA5F44" w14:textId="4B03238E"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16</w:t>
            </w:r>
          </w:p>
        </w:tc>
        <w:tc>
          <w:tcPr>
            <w:tcW w:w="3414" w:type="pct"/>
            <w:tcBorders>
              <w:top w:val="nil"/>
              <w:left w:val="nil"/>
              <w:bottom w:val="single" w:sz="4" w:space="0" w:color="auto"/>
              <w:right w:val="single" w:sz="4" w:space="0" w:color="auto"/>
            </w:tcBorders>
            <w:shd w:val="clear" w:color="auto" w:fill="auto"/>
            <w:vAlign w:val="center"/>
            <w:hideMark/>
          </w:tcPr>
          <w:p w14:paraId="0D15975C"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Previous to the last year, did you or someone in your household travel?</w:t>
            </w:r>
          </w:p>
        </w:tc>
        <w:tc>
          <w:tcPr>
            <w:tcW w:w="1324" w:type="pct"/>
            <w:tcBorders>
              <w:top w:val="nil"/>
              <w:left w:val="nil"/>
              <w:bottom w:val="single" w:sz="4" w:space="0" w:color="auto"/>
              <w:right w:val="single" w:sz="4" w:space="0" w:color="auto"/>
            </w:tcBorders>
            <w:shd w:val="clear" w:color="auto" w:fill="auto"/>
            <w:noWrap/>
            <w:vAlign w:val="bottom"/>
            <w:hideMark/>
          </w:tcPr>
          <w:p w14:paraId="105C6E61"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AB5364" w:rsidRPr="007368D7" w14:paraId="75B3EED0"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4F90A4DE" w14:textId="212927D1"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17</w:t>
            </w:r>
          </w:p>
        </w:tc>
        <w:tc>
          <w:tcPr>
            <w:tcW w:w="3414" w:type="pct"/>
            <w:tcBorders>
              <w:top w:val="nil"/>
              <w:left w:val="nil"/>
              <w:bottom w:val="single" w:sz="4" w:space="0" w:color="auto"/>
              <w:right w:val="single" w:sz="4" w:space="0" w:color="auto"/>
            </w:tcBorders>
            <w:shd w:val="clear" w:color="auto" w:fill="auto"/>
            <w:vAlign w:val="center"/>
            <w:hideMark/>
          </w:tcPr>
          <w:p w14:paraId="7B11AC0A"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Reason(s) for travelling</w:t>
            </w:r>
          </w:p>
        </w:tc>
        <w:tc>
          <w:tcPr>
            <w:tcW w:w="1324" w:type="pct"/>
            <w:tcBorders>
              <w:top w:val="nil"/>
              <w:left w:val="nil"/>
              <w:bottom w:val="single" w:sz="4" w:space="0" w:color="auto"/>
              <w:right w:val="single" w:sz="4" w:space="0" w:color="auto"/>
            </w:tcBorders>
            <w:shd w:val="clear" w:color="auto" w:fill="auto"/>
            <w:noWrap/>
            <w:vAlign w:val="bottom"/>
            <w:hideMark/>
          </w:tcPr>
          <w:p w14:paraId="70020234"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AB5364" w:rsidRPr="007368D7" w14:paraId="34DCA762"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12DD891E" w14:textId="3E534983"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18</w:t>
            </w:r>
          </w:p>
        </w:tc>
        <w:tc>
          <w:tcPr>
            <w:tcW w:w="3414" w:type="pct"/>
            <w:tcBorders>
              <w:top w:val="nil"/>
              <w:left w:val="nil"/>
              <w:bottom w:val="single" w:sz="4" w:space="0" w:color="auto"/>
              <w:right w:val="single" w:sz="4" w:space="0" w:color="auto"/>
            </w:tcBorders>
            <w:shd w:val="clear" w:color="auto" w:fill="auto"/>
            <w:vAlign w:val="center"/>
            <w:hideMark/>
          </w:tcPr>
          <w:p w14:paraId="57E1F892" w14:textId="77777777" w:rsidR="00AB5364" w:rsidRPr="007368D7" w:rsidRDefault="00AB5364" w:rsidP="007368D7">
            <w:pPr>
              <w:spacing w:before="20" w:after="20"/>
              <w:rPr>
                <w:rFonts w:asciiTheme="minorHAnsi" w:hAnsiTheme="minorHAnsi" w:cs="Arial"/>
                <w:sz w:val="22"/>
                <w:szCs w:val="22"/>
                <w:lang w:eastAsia="en-GB"/>
              </w:rPr>
            </w:pPr>
            <w:r w:rsidRPr="007368D7">
              <w:rPr>
                <w:rFonts w:asciiTheme="minorHAnsi" w:hAnsiTheme="minorHAnsi" w:cs="Arial"/>
                <w:sz w:val="22"/>
                <w:szCs w:val="22"/>
                <w:lang w:eastAsia="en-GB"/>
              </w:rPr>
              <w:t>Do you or a member of your household plan to travel next year?</w:t>
            </w:r>
          </w:p>
        </w:tc>
        <w:tc>
          <w:tcPr>
            <w:tcW w:w="1324" w:type="pct"/>
            <w:tcBorders>
              <w:top w:val="nil"/>
              <w:left w:val="nil"/>
              <w:bottom w:val="single" w:sz="4" w:space="0" w:color="auto"/>
              <w:right w:val="single" w:sz="4" w:space="0" w:color="auto"/>
            </w:tcBorders>
            <w:shd w:val="clear" w:color="auto" w:fill="auto"/>
            <w:noWrap/>
            <w:vAlign w:val="bottom"/>
            <w:hideMark/>
          </w:tcPr>
          <w:p w14:paraId="1309ED7B"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AB5364" w:rsidRPr="007368D7" w14:paraId="6E8390C8"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100E3318" w14:textId="485C4FF1"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19</w:t>
            </w:r>
          </w:p>
        </w:tc>
        <w:tc>
          <w:tcPr>
            <w:tcW w:w="3414" w:type="pct"/>
            <w:tcBorders>
              <w:top w:val="nil"/>
              <w:left w:val="nil"/>
              <w:bottom w:val="single" w:sz="4" w:space="0" w:color="auto"/>
              <w:right w:val="single" w:sz="4" w:space="0" w:color="auto"/>
            </w:tcBorders>
            <w:shd w:val="clear" w:color="auto" w:fill="auto"/>
            <w:vAlign w:val="bottom"/>
            <w:hideMark/>
          </w:tcPr>
          <w:p w14:paraId="0BCAE70E"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Do you think you or a member of your household will travel each year for the next five years and/or beyond</w:t>
            </w:r>
          </w:p>
        </w:tc>
        <w:tc>
          <w:tcPr>
            <w:tcW w:w="1324" w:type="pct"/>
            <w:tcBorders>
              <w:top w:val="nil"/>
              <w:left w:val="nil"/>
              <w:bottom w:val="single" w:sz="4" w:space="0" w:color="auto"/>
              <w:right w:val="single" w:sz="4" w:space="0" w:color="auto"/>
            </w:tcBorders>
            <w:shd w:val="clear" w:color="auto" w:fill="auto"/>
            <w:noWrap/>
            <w:vAlign w:val="bottom"/>
            <w:hideMark/>
          </w:tcPr>
          <w:p w14:paraId="020EB492"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AB5364" w:rsidRPr="007368D7" w14:paraId="67DFAFBD"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48564C4E" w14:textId="4E43404C"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20</w:t>
            </w:r>
          </w:p>
        </w:tc>
        <w:tc>
          <w:tcPr>
            <w:tcW w:w="3414" w:type="pct"/>
            <w:tcBorders>
              <w:top w:val="nil"/>
              <w:left w:val="nil"/>
              <w:bottom w:val="single" w:sz="4" w:space="0" w:color="auto"/>
              <w:right w:val="single" w:sz="4" w:space="0" w:color="auto"/>
            </w:tcBorders>
            <w:shd w:val="clear" w:color="auto" w:fill="auto"/>
            <w:vAlign w:val="center"/>
            <w:hideMark/>
          </w:tcPr>
          <w:p w14:paraId="31BA2BB9" w14:textId="77777777" w:rsidR="00AB5364" w:rsidRPr="007368D7" w:rsidRDefault="00AB5364" w:rsidP="007368D7">
            <w:pPr>
              <w:spacing w:before="20" w:after="20"/>
              <w:rPr>
                <w:rFonts w:asciiTheme="minorHAnsi" w:hAnsiTheme="minorHAnsi" w:cs="Arial"/>
                <w:color w:val="009999"/>
                <w:sz w:val="22"/>
                <w:szCs w:val="22"/>
                <w:lang w:eastAsia="en-GB"/>
              </w:rPr>
            </w:pPr>
            <w:r w:rsidRPr="007368D7">
              <w:rPr>
                <w:rFonts w:asciiTheme="minorHAnsi" w:hAnsiTheme="minorHAnsi" w:cs="Arial"/>
                <w:sz w:val="22"/>
                <w:szCs w:val="22"/>
                <w:lang w:eastAsia="en-GB"/>
              </w:rPr>
              <w:t>What reasons do you have for not travelling now or in the future?</w:t>
            </w:r>
          </w:p>
        </w:tc>
        <w:tc>
          <w:tcPr>
            <w:tcW w:w="1324" w:type="pct"/>
            <w:tcBorders>
              <w:top w:val="nil"/>
              <w:left w:val="nil"/>
              <w:bottom w:val="single" w:sz="4" w:space="0" w:color="auto"/>
              <w:right w:val="single" w:sz="4" w:space="0" w:color="auto"/>
            </w:tcBorders>
            <w:shd w:val="clear" w:color="auto" w:fill="auto"/>
            <w:noWrap/>
            <w:vAlign w:val="bottom"/>
            <w:hideMark/>
          </w:tcPr>
          <w:p w14:paraId="4E2C1473" w14:textId="77777777" w:rsidR="00AB5364" w:rsidRPr="007368D7" w:rsidRDefault="00AB5364"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bl>
    <w:p w14:paraId="2203092F" w14:textId="160B4B46" w:rsidR="007368D7" w:rsidRDefault="007368D7"/>
    <w:tbl>
      <w:tblPr>
        <w:tblW w:w="5000" w:type="pct"/>
        <w:tblLook w:val="04A0" w:firstRow="1" w:lastRow="0" w:firstColumn="1" w:lastColumn="0" w:noHBand="0" w:noVBand="1"/>
      </w:tblPr>
      <w:tblGrid>
        <w:gridCol w:w="807"/>
        <w:gridCol w:w="5734"/>
        <w:gridCol w:w="2094"/>
        <w:gridCol w:w="2655"/>
        <w:gridCol w:w="2504"/>
        <w:gridCol w:w="1604"/>
      </w:tblGrid>
      <w:tr w:rsidR="007368D7" w:rsidRPr="007368D7" w14:paraId="1AECFAC4" w14:textId="77777777" w:rsidTr="007368D7">
        <w:trPr>
          <w:gridAfter w:val="3"/>
          <w:wAfter w:w="2196" w:type="pct"/>
        </w:trPr>
        <w:tc>
          <w:tcPr>
            <w:tcW w:w="2804" w:type="pct"/>
            <w:gridSpan w:val="3"/>
            <w:tcBorders>
              <w:bottom w:val="single" w:sz="4" w:space="0" w:color="auto"/>
            </w:tcBorders>
            <w:shd w:val="clear" w:color="auto" w:fill="auto"/>
            <w:noWrap/>
            <w:vAlign w:val="bottom"/>
            <w:hideMark/>
          </w:tcPr>
          <w:p w14:paraId="37D6B2B8" w14:textId="77777777" w:rsidR="007368D7" w:rsidRPr="007368D7" w:rsidRDefault="007368D7" w:rsidP="007368D7">
            <w:pPr>
              <w:spacing w:before="20" w:afterLines="20" w:after="48"/>
              <w:jc w:val="left"/>
              <w:rPr>
                <w:rFonts w:asciiTheme="minorHAnsi" w:hAnsiTheme="minorHAnsi" w:cs="Arial"/>
                <w:b/>
                <w:bCs/>
                <w:color w:val="000000"/>
                <w:szCs w:val="22"/>
                <w:lang w:eastAsia="en-GB"/>
              </w:rPr>
            </w:pPr>
            <w:r w:rsidRPr="007368D7">
              <w:rPr>
                <w:rFonts w:asciiTheme="minorHAnsi" w:hAnsiTheme="minorHAnsi" w:cs="Arial"/>
                <w:b/>
                <w:bCs/>
                <w:color w:val="000000"/>
                <w:szCs w:val="22"/>
                <w:lang w:eastAsia="en-GB"/>
              </w:rPr>
              <w:t>Future moving intentions</w:t>
            </w:r>
          </w:p>
          <w:p w14:paraId="07D22BC5" w14:textId="7D120855" w:rsidR="007368D7" w:rsidRPr="007368D7" w:rsidRDefault="007368D7" w:rsidP="007368D7">
            <w:pPr>
              <w:spacing w:before="20" w:afterLines="20" w:after="48"/>
              <w:jc w:val="left"/>
              <w:rPr>
                <w:rFonts w:asciiTheme="minorHAnsi" w:hAnsiTheme="minorHAnsi" w:cs="Arial"/>
                <w:color w:val="000000"/>
                <w:szCs w:val="22"/>
                <w:lang w:eastAsia="en-GB"/>
              </w:rPr>
            </w:pPr>
            <w:r w:rsidRPr="007368D7">
              <w:rPr>
                <w:rFonts w:asciiTheme="minorHAnsi" w:hAnsiTheme="minorHAnsi" w:cs="Arial"/>
                <w:color w:val="000000"/>
                <w:szCs w:val="22"/>
                <w:lang w:eastAsia="en-GB"/>
              </w:rPr>
              <w:t> </w:t>
            </w:r>
          </w:p>
        </w:tc>
      </w:tr>
      <w:tr w:rsidR="00AB5364" w:rsidRPr="007368D7" w14:paraId="58D1AC6C" w14:textId="77777777" w:rsidTr="007368D7">
        <w:trPr>
          <w:gridAfter w:val="3"/>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105CFB89" w14:textId="42D8C49B" w:rsidR="00AB5364" w:rsidRPr="007368D7" w:rsidRDefault="00AB5364"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21</w:t>
            </w:r>
          </w:p>
        </w:tc>
        <w:tc>
          <w:tcPr>
            <w:tcW w:w="1862" w:type="pct"/>
            <w:tcBorders>
              <w:top w:val="nil"/>
              <w:left w:val="nil"/>
              <w:bottom w:val="single" w:sz="4" w:space="0" w:color="auto"/>
              <w:right w:val="single" w:sz="4" w:space="0" w:color="auto"/>
            </w:tcBorders>
            <w:shd w:val="clear" w:color="auto" w:fill="auto"/>
            <w:vAlign w:val="center"/>
            <w:hideMark/>
          </w:tcPr>
          <w:p w14:paraId="5A2A7170" w14:textId="77777777" w:rsidR="00AB5364" w:rsidRPr="007368D7" w:rsidRDefault="00AB5364" w:rsidP="007368D7">
            <w:pPr>
              <w:spacing w:before="20" w:afterLines="20" w:after="48"/>
              <w:rPr>
                <w:rFonts w:asciiTheme="minorHAnsi" w:hAnsiTheme="minorHAnsi" w:cs="Arial"/>
                <w:sz w:val="22"/>
                <w:szCs w:val="22"/>
                <w:lang w:eastAsia="en-GB"/>
              </w:rPr>
            </w:pPr>
            <w:r w:rsidRPr="007368D7">
              <w:rPr>
                <w:rFonts w:asciiTheme="minorHAnsi" w:hAnsiTheme="minorHAnsi" w:cs="Arial"/>
                <w:sz w:val="22"/>
                <w:szCs w:val="22"/>
                <w:lang w:eastAsia="en-GB"/>
              </w:rPr>
              <w:t>Are you planning to move in the next 5 years?</w:t>
            </w:r>
          </w:p>
        </w:tc>
        <w:tc>
          <w:tcPr>
            <w:tcW w:w="680" w:type="pct"/>
            <w:tcBorders>
              <w:top w:val="nil"/>
              <w:left w:val="nil"/>
              <w:bottom w:val="single" w:sz="4" w:space="0" w:color="auto"/>
              <w:right w:val="single" w:sz="4" w:space="0" w:color="auto"/>
            </w:tcBorders>
            <w:shd w:val="clear" w:color="auto" w:fill="auto"/>
            <w:noWrap/>
            <w:vAlign w:val="bottom"/>
            <w:hideMark/>
          </w:tcPr>
          <w:p w14:paraId="294EB825" w14:textId="77777777" w:rsidR="00AB5364" w:rsidRPr="007368D7" w:rsidRDefault="00AB5364"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AB5364" w:rsidRPr="007368D7" w14:paraId="42FF92A4" w14:textId="77777777" w:rsidTr="007368D7">
        <w:trPr>
          <w:gridAfter w:val="3"/>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7ED08718" w14:textId="37A03ADB" w:rsidR="00AB5364" w:rsidRPr="007368D7" w:rsidRDefault="00AB5364"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22</w:t>
            </w:r>
          </w:p>
        </w:tc>
        <w:tc>
          <w:tcPr>
            <w:tcW w:w="1862" w:type="pct"/>
            <w:tcBorders>
              <w:top w:val="nil"/>
              <w:left w:val="nil"/>
              <w:bottom w:val="single" w:sz="4" w:space="0" w:color="auto"/>
              <w:right w:val="single" w:sz="4" w:space="0" w:color="auto"/>
            </w:tcBorders>
            <w:shd w:val="clear" w:color="auto" w:fill="auto"/>
            <w:vAlign w:val="center"/>
            <w:hideMark/>
          </w:tcPr>
          <w:p w14:paraId="20DB9816" w14:textId="77777777" w:rsidR="00AB5364" w:rsidRPr="007368D7" w:rsidRDefault="00AB5364" w:rsidP="007368D7">
            <w:pPr>
              <w:spacing w:before="20" w:afterLines="20" w:after="48"/>
              <w:rPr>
                <w:rFonts w:asciiTheme="minorHAnsi" w:hAnsiTheme="minorHAnsi" w:cs="Arial"/>
                <w:sz w:val="22"/>
                <w:szCs w:val="22"/>
                <w:lang w:eastAsia="en-GB"/>
              </w:rPr>
            </w:pPr>
            <w:r w:rsidRPr="007368D7">
              <w:rPr>
                <w:rFonts w:asciiTheme="minorHAnsi" w:hAnsiTheme="minorHAnsi" w:cs="Arial"/>
                <w:sz w:val="22"/>
                <w:szCs w:val="22"/>
                <w:lang w:eastAsia="en-GB"/>
              </w:rPr>
              <w:t>Where are you planning to move to? (</w:t>
            </w:r>
            <w:r w:rsidRPr="007368D7">
              <w:rPr>
                <w:rFonts w:asciiTheme="minorHAnsi" w:hAnsiTheme="minorHAnsi" w:cs="Arial"/>
                <w:b/>
                <w:bCs/>
                <w:sz w:val="22"/>
                <w:szCs w:val="22"/>
                <w:lang w:eastAsia="en-GB"/>
              </w:rPr>
              <w:t>Same</w:t>
            </w:r>
            <w:r w:rsidRPr="007368D7">
              <w:rPr>
                <w:rFonts w:asciiTheme="minorHAnsi" w:hAnsiTheme="minorHAnsi" w:cs="Arial"/>
                <w:sz w:val="22"/>
                <w:szCs w:val="22"/>
                <w:lang w:eastAsia="en-GB"/>
              </w:rPr>
              <w:t xml:space="preserve"> </w:t>
            </w:r>
            <w:r w:rsidRPr="007368D7">
              <w:rPr>
                <w:rFonts w:asciiTheme="minorHAnsi" w:hAnsiTheme="minorHAnsi" w:cs="Arial"/>
                <w:b/>
                <w:bCs/>
                <w:sz w:val="22"/>
                <w:szCs w:val="22"/>
                <w:lang w:eastAsia="en-GB"/>
              </w:rPr>
              <w:t>Site</w:t>
            </w:r>
            <w:r w:rsidRPr="007368D7">
              <w:rPr>
                <w:rFonts w:asciiTheme="minorHAnsi" w:hAnsiTheme="minorHAnsi" w:cs="Arial"/>
                <w:sz w:val="22"/>
                <w:szCs w:val="22"/>
                <w:lang w:eastAsia="en-GB"/>
              </w:rPr>
              <w:t xml:space="preserve">, </w:t>
            </w:r>
            <w:r w:rsidRPr="007368D7">
              <w:rPr>
                <w:rFonts w:asciiTheme="minorHAnsi" w:hAnsiTheme="minorHAnsi" w:cs="Arial"/>
                <w:b/>
                <w:bCs/>
                <w:sz w:val="22"/>
                <w:szCs w:val="22"/>
                <w:lang w:eastAsia="en-GB"/>
              </w:rPr>
              <w:t>Other Site</w:t>
            </w:r>
            <w:r w:rsidRPr="007368D7">
              <w:rPr>
                <w:rFonts w:asciiTheme="minorHAnsi" w:hAnsiTheme="minorHAnsi" w:cs="Arial"/>
                <w:sz w:val="22"/>
                <w:szCs w:val="22"/>
                <w:lang w:eastAsia="en-GB"/>
              </w:rPr>
              <w:t xml:space="preserve"> in District, </w:t>
            </w:r>
            <w:r w:rsidRPr="007368D7">
              <w:rPr>
                <w:rFonts w:asciiTheme="minorHAnsi" w:hAnsiTheme="minorHAnsi" w:cs="Arial"/>
                <w:b/>
                <w:bCs/>
                <w:sz w:val="22"/>
                <w:szCs w:val="22"/>
                <w:lang w:eastAsia="en-GB"/>
              </w:rPr>
              <w:t>Outside</w:t>
            </w:r>
            <w:r w:rsidRPr="007368D7">
              <w:rPr>
                <w:rFonts w:asciiTheme="minorHAnsi" w:hAnsiTheme="minorHAnsi" w:cs="Arial"/>
                <w:sz w:val="22"/>
                <w:szCs w:val="22"/>
                <w:lang w:eastAsia="en-GB"/>
              </w:rPr>
              <w:t xml:space="preserve"> District (if so where)</w:t>
            </w:r>
          </w:p>
        </w:tc>
        <w:tc>
          <w:tcPr>
            <w:tcW w:w="680" w:type="pct"/>
            <w:tcBorders>
              <w:top w:val="nil"/>
              <w:left w:val="nil"/>
              <w:bottom w:val="single" w:sz="4" w:space="0" w:color="auto"/>
              <w:right w:val="single" w:sz="4" w:space="0" w:color="auto"/>
            </w:tcBorders>
            <w:shd w:val="clear" w:color="auto" w:fill="auto"/>
            <w:noWrap/>
            <w:vAlign w:val="bottom"/>
            <w:hideMark/>
          </w:tcPr>
          <w:p w14:paraId="23663AEB" w14:textId="77777777" w:rsidR="00AB5364" w:rsidRPr="007368D7" w:rsidRDefault="00AB5364"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AB5364" w:rsidRPr="007368D7" w14:paraId="61275C49" w14:textId="77777777" w:rsidTr="007368D7">
        <w:trPr>
          <w:gridAfter w:val="3"/>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61A974CB" w14:textId="50B98D9E" w:rsidR="00AB5364" w:rsidRPr="007368D7" w:rsidRDefault="00AB5364"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23</w:t>
            </w:r>
          </w:p>
        </w:tc>
        <w:tc>
          <w:tcPr>
            <w:tcW w:w="1862" w:type="pct"/>
            <w:tcBorders>
              <w:top w:val="nil"/>
              <w:left w:val="nil"/>
              <w:bottom w:val="single" w:sz="4" w:space="0" w:color="auto"/>
              <w:right w:val="single" w:sz="4" w:space="0" w:color="auto"/>
            </w:tcBorders>
            <w:shd w:val="clear" w:color="auto" w:fill="auto"/>
            <w:vAlign w:val="center"/>
            <w:hideMark/>
          </w:tcPr>
          <w:p w14:paraId="3CF27A12" w14:textId="77777777" w:rsidR="00AB5364" w:rsidRPr="007368D7" w:rsidRDefault="00AB5364" w:rsidP="007368D7">
            <w:pPr>
              <w:spacing w:before="20" w:afterLines="20" w:after="48"/>
              <w:rPr>
                <w:rFonts w:asciiTheme="minorHAnsi" w:hAnsiTheme="minorHAnsi" w:cs="Arial"/>
                <w:sz w:val="22"/>
                <w:szCs w:val="22"/>
                <w:lang w:eastAsia="en-GB"/>
              </w:rPr>
            </w:pPr>
            <w:r w:rsidRPr="007368D7">
              <w:rPr>
                <w:rFonts w:asciiTheme="minorHAnsi" w:hAnsiTheme="minorHAnsi" w:cs="Arial"/>
                <w:sz w:val="22"/>
                <w:szCs w:val="22"/>
                <w:lang w:eastAsia="en-GB"/>
              </w:rPr>
              <w:t>What type of dwelling (</w:t>
            </w:r>
            <w:r w:rsidRPr="007368D7">
              <w:rPr>
                <w:rFonts w:asciiTheme="minorHAnsi" w:hAnsiTheme="minorHAnsi" w:cs="Arial"/>
                <w:b/>
                <w:bCs/>
                <w:sz w:val="22"/>
                <w:szCs w:val="22"/>
                <w:lang w:eastAsia="en-GB"/>
              </w:rPr>
              <w:t>c</w:t>
            </w:r>
            <w:r w:rsidRPr="007368D7">
              <w:rPr>
                <w:rFonts w:asciiTheme="minorHAnsi" w:hAnsiTheme="minorHAnsi" w:cs="Arial"/>
                <w:sz w:val="22"/>
                <w:szCs w:val="22"/>
                <w:lang w:eastAsia="en-GB"/>
              </w:rPr>
              <w:t xml:space="preserve">aravan, </w:t>
            </w:r>
            <w:r w:rsidRPr="007368D7">
              <w:rPr>
                <w:rFonts w:asciiTheme="minorHAnsi" w:hAnsiTheme="minorHAnsi" w:cs="Arial"/>
                <w:b/>
                <w:bCs/>
                <w:sz w:val="22"/>
                <w:szCs w:val="22"/>
                <w:lang w:eastAsia="en-GB"/>
              </w:rPr>
              <w:t>t</w:t>
            </w:r>
            <w:r w:rsidRPr="007368D7">
              <w:rPr>
                <w:rFonts w:asciiTheme="minorHAnsi" w:hAnsiTheme="minorHAnsi" w:cs="Arial"/>
                <w:sz w:val="22"/>
                <w:szCs w:val="22"/>
                <w:lang w:eastAsia="en-GB"/>
              </w:rPr>
              <w:t xml:space="preserve">railer, </w:t>
            </w:r>
            <w:r w:rsidRPr="007368D7">
              <w:rPr>
                <w:rFonts w:asciiTheme="minorHAnsi" w:hAnsiTheme="minorHAnsi" w:cs="Arial"/>
                <w:b/>
                <w:bCs/>
                <w:sz w:val="22"/>
                <w:szCs w:val="22"/>
                <w:lang w:eastAsia="en-GB"/>
              </w:rPr>
              <w:t>h</w:t>
            </w:r>
            <w:r w:rsidRPr="007368D7">
              <w:rPr>
                <w:rFonts w:asciiTheme="minorHAnsi" w:hAnsiTheme="minorHAnsi" w:cs="Arial"/>
                <w:sz w:val="22"/>
                <w:szCs w:val="22"/>
                <w:lang w:eastAsia="en-GB"/>
              </w:rPr>
              <w:t xml:space="preserve">ouse, </w:t>
            </w:r>
            <w:r w:rsidRPr="007368D7">
              <w:rPr>
                <w:rFonts w:asciiTheme="minorHAnsi" w:hAnsiTheme="minorHAnsi" w:cs="Arial"/>
                <w:b/>
                <w:bCs/>
                <w:sz w:val="22"/>
                <w:szCs w:val="22"/>
                <w:lang w:eastAsia="en-GB"/>
              </w:rPr>
              <w:t>f</w:t>
            </w:r>
            <w:r w:rsidRPr="007368D7">
              <w:rPr>
                <w:rFonts w:asciiTheme="minorHAnsi" w:hAnsiTheme="minorHAnsi" w:cs="Arial"/>
                <w:sz w:val="22"/>
                <w:szCs w:val="22"/>
                <w:lang w:eastAsia="en-GB"/>
              </w:rPr>
              <w:t xml:space="preserve">lat, </w:t>
            </w:r>
            <w:r w:rsidRPr="007368D7">
              <w:rPr>
                <w:rFonts w:asciiTheme="minorHAnsi" w:hAnsiTheme="minorHAnsi" w:cs="Arial"/>
                <w:b/>
                <w:bCs/>
                <w:sz w:val="22"/>
                <w:szCs w:val="22"/>
                <w:lang w:eastAsia="en-GB"/>
              </w:rPr>
              <w:t>b</w:t>
            </w:r>
            <w:r w:rsidRPr="007368D7">
              <w:rPr>
                <w:rFonts w:asciiTheme="minorHAnsi" w:hAnsiTheme="minorHAnsi" w:cs="Arial"/>
                <w:sz w:val="22"/>
                <w:szCs w:val="22"/>
                <w:lang w:eastAsia="en-GB"/>
              </w:rPr>
              <w:t>ungalow)</w:t>
            </w:r>
          </w:p>
        </w:tc>
        <w:tc>
          <w:tcPr>
            <w:tcW w:w="680" w:type="pct"/>
            <w:tcBorders>
              <w:top w:val="nil"/>
              <w:left w:val="nil"/>
              <w:bottom w:val="single" w:sz="4" w:space="0" w:color="auto"/>
              <w:right w:val="single" w:sz="4" w:space="0" w:color="auto"/>
            </w:tcBorders>
            <w:shd w:val="clear" w:color="auto" w:fill="auto"/>
            <w:noWrap/>
            <w:vAlign w:val="bottom"/>
            <w:hideMark/>
          </w:tcPr>
          <w:p w14:paraId="3D41D4B6" w14:textId="77777777" w:rsidR="00AB5364" w:rsidRPr="007368D7" w:rsidRDefault="00AB5364"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368D7" w:rsidRPr="007A0019" w14:paraId="1CB330A6" w14:textId="77777777" w:rsidTr="007368D7">
        <w:trPr>
          <w:gridAfter w:val="3"/>
          <w:wAfter w:w="2196" w:type="pct"/>
        </w:trPr>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C59E0" w14:textId="1EEF4441"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24</w:t>
            </w:r>
          </w:p>
        </w:tc>
        <w:tc>
          <w:tcPr>
            <w:tcW w:w="18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0BBCA" w14:textId="77777777" w:rsidR="007368D7" w:rsidRPr="007368D7" w:rsidRDefault="007368D7" w:rsidP="007368D7">
            <w:pPr>
              <w:spacing w:before="20" w:afterLines="20" w:after="48"/>
              <w:rPr>
                <w:rFonts w:asciiTheme="minorHAnsi" w:hAnsiTheme="minorHAnsi" w:cs="Arial"/>
                <w:sz w:val="22"/>
                <w:szCs w:val="22"/>
                <w:lang w:eastAsia="en-GB"/>
              </w:rPr>
            </w:pPr>
            <w:r w:rsidRPr="007368D7">
              <w:rPr>
                <w:rFonts w:asciiTheme="minorHAnsi" w:hAnsiTheme="minorHAnsi" w:cs="Arial"/>
                <w:b/>
                <w:bCs/>
                <w:sz w:val="22"/>
                <w:szCs w:val="22"/>
                <w:lang w:eastAsia="en-GB"/>
              </w:rPr>
              <w:t>Emerging households</w:t>
            </w:r>
            <w:r w:rsidRPr="007368D7">
              <w:rPr>
                <w:rFonts w:asciiTheme="minorHAnsi" w:hAnsiTheme="minorHAnsi" w:cs="Arial"/>
                <w:sz w:val="22"/>
                <w:szCs w:val="22"/>
                <w:lang w:eastAsia="en-GB"/>
              </w:rPr>
              <w:t>: Are there any people in your household who want to move to their own pitch in the next 5 yrs?</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13749"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7A0019" w:rsidRPr="007A0019" w14:paraId="14BCF776" w14:textId="77777777" w:rsidTr="007368D7">
        <w:tc>
          <w:tcPr>
            <w:tcW w:w="2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E0BE0"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c>
          <w:tcPr>
            <w:tcW w:w="1862" w:type="pct"/>
            <w:tcBorders>
              <w:top w:val="single" w:sz="4" w:space="0" w:color="auto"/>
              <w:left w:val="nil"/>
              <w:bottom w:val="single" w:sz="4" w:space="0" w:color="auto"/>
              <w:right w:val="single" w:sz="4" w:space="0" w:color="auto"/>
            </w:tcBorders>
            <w:shd w:val="clear" w:color="auto" w:fill="auto"/>
            <w:vAlign w:val="center"/>
            <w:hideMark/>
          </w:tcPr>
          <w:p w14:paraId="2FFA535D" w14:textId="77777777" w:rsidR="007A0019" w:rsidRPr="007368D7" w:rsidRDefault="007A0019" w:rsidP="007368D7">
            <w:pPr>
              <w:spacing w:before="20" w:afterLines="20" w:after="48"/>
              <w:rPr>
                <w:rFonts w:asciiTheme="minorHAnsi" w:hAnsiTheme="minorHAnsi" w:cs="Arial"/>
                <w:sz w:val="22"/>
                <w:szCs w:val="22"/>
                <w:lang w:eastAsia="en-GB"/>
              </w:rPr>
            </w:pPr>
            <w:r w:rsidRPr="007368D7">
              <w:rPr>
                <w:rFonts w:asciiTheme="minorHAnsi" w:hAnsiTheme="minorHAnsi" w:cs="Arial"/>
                <w:sz w:val="22"/>
                <w:szCs w:val="22"/>
                <w:lang w:eastAsia="en-GB"/>
              </w:rPr>
              <w:t> </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315CD919"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HH1</w:t>
            </w:r>
          </w:p>
        </w:tc>
        <w:tc>
          <w:tcPr>
            <w:tcW w:w="862" w:type="pct"/>
            <w:tcBorders>
              <w:top w:val="single" w:sz="4" w:space="0" w:color="auto"/>
              <w:left w:val="nil"/>
              <w:bottom w:val="single" w:sz="4" w:space="0" w:color="auto"/>
              <w:right w:val="single" w:sz="4" w:space="0" w:color="auto"/>
            </w:tcBorders>
            <w:shd w:val="clear" w:color="auto" w:fill="auto"/>
            <w:noWrap/>
            <w:vAlign w:val="bottom"/>
            <w:hideMark/>
          </w:tcPr>
          <w:p w14:paraId="52016468"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HH2</w:t>
            </w:r>
          </w:p>
        </w:tc>
        <w:tc>
          <w:tcPr>
            <w:tcW w:w="813" w:type="pct"/>
            <w:tcBorders>
              <w:top w:val="single" w:sz="4" w:space="0" w:color="auto"/>
              <w:left w:val="nil"/>
              <w:bottom w:val="single" w:sz="4" w:space="0" w:color="auto"/>
              <w:right w:val="single" w:sz="4" w:space="0" w:color="auto"/>
            </w:tcBorders>
            <w:shd w:val="clear" w:color="auto" w:fill="auto"/>
            <w:noWrap/>
            <w:vAlign w:val="bottom"/>
            <w:hideMark/>
          </w:tcPr>
          <w:p w14:paraId="1A75B8D5"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HH3</w:t>
            </w:r>
          </w:p>
        </w:tc>
        <w:tc>
          <w:tcPr>
            <w:tcW w:w="521" w:type="pct"/>
            <w:tcBorders>
              <w:top w:val="single" w:sz="4" w:space="0" w:color="auto"/>
              <w:left w:val="nil"/>
              <w:bottom w:val="single" w:sz="4" w:space="0" w:color="auto"/>
              <w:right w:val="single" w:sz="4" w:space="0" w:color="auto"/>
            </w:tcBorders>
            <w:shd w:val="clear" w:color="auto" w:fill="auto"/>
            <w:noWrap/>
            <w:vAlign w:val="bottom"/>
            <w:hideMark/>
          </w:tcPr>
          <w:p w14:paraId="31408F0F"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HH4</w:t>
            </w:r>
          </w:p>
        </w:tc>
      </w:tr>
      <w:tr w:rsidR="007A0019" w:rsidRPr="007A0019" w14:paraId="4E7DA6BE"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306E2882" w14:textId="37C442CA"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w:t>
            </w:r>
            <w:r w:rsidR="00060C96" w:rsidRPr="007368D7">
              <w:rPr>
                <w:rFonts w:asciiTheme="minorHAnsi" w:hAnsiTheme="minorHAnsi" w:cs="Arial"/>
                <w:color w:val="000000"/>
                <w:sz w:val="22"/>
                <w:szCs w:val="22"/>
                <w:lang w:eastAsia="en-GB"/>
              </w:rPr>
              <w:t>5</w:t>
            </w:r>
          </w:p>
        </w:tc>
        <w:tc>
          <w:tcPr>
            <w:tcW w:w="1862" w:type="pct"/>
            <w:tcBorders>
              <w:top w:val="nil"/>
              <w:left w:val="nil"/>
              <w:bottom w:val="single" w:sz="4" w:space="0" w:color="auto"/>
              <w:right w:val="single" w:sz="4" w:space="0" w:color="auto"/>
            </w:tcBorders>
            <w:shd w:val="clear" w:color="auto" w:fill="auto"/>
            <w:vAlign w:val="center"/>
            <w:hideMark/>
          </w:tcPr>
          <w:p w14:paraId="0D14D760" w14:textId="77777777" w:rsidR="007A0019" w:rsidRPr="007368D7" w:rsidRDefault="007A0019" w:rsidP="007368D7">
            <w:pPr>
              <w:spacing w:before="20" w:afterLines="20" w:after="48"/>
              <w:rPr>
                <w:rFonts w:asciiTheme="minorHAnsi" w:hAnsiTheme="minorHAnsi" w:cs="Arial"/>
                <w:sz w:val="22"/>
                <w:szCs w:val="22"/>
                <w:lang w:eastAsia="en-GB"/>
              </w:rPr>
            </w:pPr>
            <w:r w:rsidRPr="007368D7">
              <w:rPr>
                <w:rFonts w:asciiTheme="minorHAnsi" w:hAnsiTheme="minorHAnsi" w:cs="Arial"/>
                <w:sz w:val="22"/>
                <w:szCs w:val="22"/>
                <w:lang w:eastAsia="en-GB"/>
              </w:rPr>
              <w:t>Where are you planning to move to? (</w:t>
            </w:r>
            <w:r w:rsidRPr="007368D7">
              <w:rPr>
                <w:rFonts w:asciiTheme="minorHAnsi" w:hAnsiTheme="minorHAnsi" w:cs="Arial"/>
                <w:b/>
                <w:bCs/>
                <w:sz w:val="22"/>
                <w:szCs w:val="22"/>
                <w:lang w:eastAsia="en-GB"/>
              </w:rPr>
              <w:t>Same</w:t>
            </w:r>
            <w:r w:rsidRPr="007368D7">
              <w:rPr>
                <w:rFonts w:asciiTheme="minorHAnsi" w:hAnsiTheme="minorHAnsi" w:cs="Arial"/>
                <w:sz w:val="22"/>
                <w:szCs w:val="22"/>
                <w:lang w:eastAsia="en-GB"/>
              </w:rPr>
              <w:t xml:space="preserve"> </w:t>
            </w:r>
            <w:r w:rsidRPr="007368D7">
              <w:rPr>
                <w:rFonts w:asciiTheme="minorHAnsi" w:hAnsiTheme="minorHAnsi" w:cs="Arial"/>
                <w:b/>
                <w:bCs/>
                <w:sz w:val="22"/>
                <w:szCs w:val="22"/>
                <w:lang w:eastAsia="en-GB"/>
              </w:rPr>
              <w:t>Site</w:t>
            </w:r>
            <w:r w:rsidRPr="007368D7">
              <w:rPr>
                <w:rFonts w:asciiTheme="minorHAnsi" w:hAnsiTheme="minorHAnsi" w:cs="Arial"/>
                <w:sz w:val="22"/>
                <w:szCs w:val="22"/>
                <w:lang w:eastAsia="en-GB"/>
              </w:rPr>
              <w:t xml:space="preserve">, </w:t>
            </w:r>
            <w:r w:rsidRPr="007368D7">
              <w:rPr>
                <w:rFonts w:asciiTheme="minorHAnsi" w:hAnsiTheme="minorHAnsi" w:cs="Arial"/>
                <w:b/>
                <w:bCs/>
                <w:sz w:val="22"/>
                <w:szCs w:val="22"/>
                <w:lang w:eastAsia="en-GB"/>
              </w:rPr>
              <w:t>Other Site</w:t>
            </w:r>
            <w:r w:rsidRPr="007368D7">
              <w:rPr>
                <w:rFonts w:asciiTheme="minorHAnsi" w:hAnsiTheme="minorHAnsi" w:cs="Arial"/>
                <w:sz w:val="22"/>
                <w:szCs w:val="22"/>
                <w:lang w:eastAsia="en-GB"/>
              </w:rPr>
              <w:t xml:space="preserve"> in District, </w:t>
            </w:r>
            <w:r w:rsidRPr="007368D7">
              <w:rPr>
                <w:rFonts w:asciiTheme="minorHAnsi" w:hAnsiTheme="minorHAnsi" w:cs="Arial"/>
                <w:b/>
                <w:bCs/>
                <w:sz w:val="22"/>
                <w:szCs w:val="22"/>
                <w:lang w:eastAsia="en-GB"/>
              </w:rPr>
              <w:t>Outside</w:t>
            </w:r>
            <w:r w:rsidRPr="007368D7">
              <w:rPr>
                <w:rFonts w:asciiTheme="minorHAnsi" w:hAnsiTheme="minorHAnsi" w:cs="Arial"/>
                <w:sz w:val="22"/>
                <w:szCs w:val="22"/>
                <w:lang w:eastAsia="en-GB"/>
              </w:rPr>
              <w:t xml:space="preserve"> District (if so where)</w:t>
            </w:r>
          </w:p>
        </w:tc>
        <w:tc>
          <w:tcPr>
            <w:tcW w:w="680" w:type="pct"/>
            <w:tcBorders>
              <w:top w:val="nil"/>
              <w:left w:val="nil"/>
              <w:bottom w:val="single" w:sz="4" w:space="0" w:color="auto"/>
              <w:right w:val="single" w:sz="4" w:space="0" w:color="auto"/>
            </w:tcBorders>
            <w:shd w:val="clear" w:color="auto" w:fill="auto"/>
            <w:noWrap/>
            <w:vAlign w:val="bottom"/>
            <w:hideMark/>
          </w:tcPr>
          <w:p w14:paraId="739730AC"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c>
          <w:tcPr>
            <w:tcW w:w="862" w:type="pct"/>
            <w:tcBorders>
              <w:top w:val="nil"/>
              <w:left w:val="nil"/>
              <w:bottom w:val="single" w:sz="4" w:space="0" w:color="auto"/>
              <w:right w:val="single" w:sz="4" w:space="0" w:color="auto"/>
            </w:tcBorders>
            <w:shd w:val="clear" w:color="auto" w:fill="auto"/>
            <w:noWrap/>
            <w:vAlign w:val="bottom"/>
            <w:hideMark/>
          </w:tcPr>
          <w:p w14:paraId="0A333C89"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c>
          <w:tcPr>
            <w:tcW w:w="813" w:type="pct"/>
            <w:tcBorders>
              <w:top w:val="nil"/>
              <w:left w:val="nil"/>
              <w:bottom w:val="single" w:sz="4" w:space="0" w:color="auto"/>
              <w:right w:val="single" w:sz="4" w:space="0" w:color="auto"/>
            </w:tcBorders>
            <w:shd w:val="clear" w:color="auto" w:fill="auto"/>
            <w:noWrap/>
            <w:vAlign w:val="bottom"/>
            <w:hideMark/>
          </w:tcPr>
          <w:p w14:paraId="6AA60598"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c>
          <w:tcPr>
            <w:tcW w:w="521" w:type="pct"/>
            <w:tcBorders>
              <w:top w:val="nil"/>
              <w:left w:val="nil"/>
              <w:bottom w:val="single" w:sz="4" w:space="0" w:color="auto"/>
              <w:right w:val="single" w:sz="4" w:space="0" w:color="auto"/>
            </w:tcBorders>
            <w:shd w:val="clear" w:color="auto" w:fill="auto"/>
            <w:noWrap/>
            <w:vAlign w:val="bottom"/>
            <w:hideMark/>
          </w:tcPr>
          <w:p w14:paraId="7E319066"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A0019" w:rsidRPr="007A0019" w14:paraId="01A37423"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4572B372" w14:textId="75266FD4"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w:t>
            </w:r>
            <w:r w:rsidR="00060C96" w:rsidRPr="007368D7">
              <w:rPr>
                <w:rFonts w:asciiTheme="minorHAnsi" w:hAnsiTheme="minorHAnsi" w:cs="Arial"/>
                <w:color w:val="000000"/>
                <w:sz w:val="22"/>
                <w:szCs w:val="22"/>
                <w:lang w:eastAsia="en-GB"/>
              </w:rPr>
              <w:t>6</w:t>
            </w:r>
          </w:p>
        </w:tc>
        <w:tc>
          <w:tcPr>
            <w:tcW w:w="1862" w:type="pct"/>
            <w:tcBorders>
              <w:top w:val="nil"/>
              <w:left w:val="nil"/>
              <w:bottom w:val="single" w:sz="4" w:space="0" w:color="auto"/>
              <w:right w:val="single" w:sz="4" w:space="0" w:color="auto"/>
            </w:tcBorders>
            <w:shd w:val="clear" w:color="auto" w:fill="auto"/>
            <w:vAlign w:val="center"/>
            <w:hideMark/>
          </w:tcPr>
          <w:p w14:paraId="5C5AEFE2" w14:textId="77777777" w:rsidR="007A0019" w:rsidRPr="007368D7" w:rsidRDefault="007A0019" w:rsidP="007368D7">
            <w:pPr>
              <w:spacing w:before="20" w:afterLines="20" w:after="48"/>
              <w:rPr>
                <w:rFonts w:asciiTheme="minorHAnsi" w:hAnsiTheme="minorHAnsi" w:cs="Arial"/>
                <w:sz w:val="22"/>
                <w:szCs w:val="22"/>
                <w:lang w:eastAsia="en-GB"/>
              </w:rPr>
            </w:pPr>
            <w:r w:rsidRPr="007368D7">
              <w:rPr>
                <w:rFonts w:asciiTheme="minorHAnsi" w:hAnsiTheme="minorHAnsi" w:cs="Arial"/>
                <w:sz w:val="22"/>
                <w:szCs w:val="22"/>
                <w:lang w:eastAsia="en-GB"/>
              </w:rPr>
              <w:t>What type of dwelling (</w:t>
            </w:r>
            <w:r w:rsidRPr="007368D7">
              <w:rPr>
                <w:rFonts w:asciiTheme="minorHAnsi" w:hAnsiTheme="minorHAnsi" w:cs="Arial"/>
                <w:bCs/>
                <w:sz w:val="22"/>
                <w:szCs w:val="22"/>
                <w:lang w:eastAsia="en-GB"/>
              </w:rPr>
              <w:t>c</w:t>
            </w:r>
            <w:r w:rsidRPr="007368D7">
              <w:rPr>
                <w:rFonts w:asciiTheme="minorHAnsi" w:hAnsiTheme="minorHAnsi" w:cs="Arial"/>
                <w:sz w:val="22"/>
                <w:szCs w:val="22"/>
                <w:lang w:eastAsia="en-GB"/>
              </w:rPr>
              <w:t xml:space="preserve">aravan, </w:t>
            </w:r>
            <w:r w:rsidRPr="007368D7">
              <w:rPr>
                <w:rFonts w:asciiTheme="minorHAnsi" w:hAnsiTheme="minorHAnsi" w:cs="Arial"/>
                <w:bCs/>
                <w:sz w:val="22"/>
                <w:szCs w:val="22"/>
                <w:lang w:eastAsia="en-GB"/>
              </w:rPr>
              <w:t>t</w:t>
            </w:r>
            <w:r w:rsidRPr="007368D7">
              <w:rPr>
                <w:rFonts w:asciiTheme="minorHAnsi" w:hAnsiTheme="minorHAnsi" w:cs="Arial"/>
                <w:sz w:val="22"/>
                <w:szCs w:val="22"/>
                <w:lang w:eastAsia="en-GB"/>
              </w:rPr>
              <w:t xml:space="preserve">railer, </w:t>
            </w:r>
            <w:r w:rsidRPr="007368D7">
              <w:rPr>
                <w:rFonts w:asciiTheme="minorHAnsi" w:hAnsiTheme="minorHAnsi" w:cs="Arial"/>
                <w:bCs/>
                <w:sz w:val="22"/>
                <w:szCs w:val="22"/>
                <w:lang w:eastAsia="en-GB"/>
              </w:rPr>
              <w:t>h</w:t>
            </w:r>
            <w:r w:rsidRPr="007368D7">
              <w:rPr>
                <w:rFonts w:asciiTheme="minorHAnsi" w:hAnsiTheme="minorHAnsi" w:cs="Arial"/>
                <w:sz w:val="22"/>
                <w:szCs w:val="22"/>
                <w:lang w:eastAsia="en-GB"/>
              </w:rPr>
              <w:t xml:space="preserve">ouse, </w:t>
            </w:r>
            <w:r w:rsidRPr="007368D7">
              <w:rPr>
                <w:rFonts w:asciiTheme="minorHAnsi" w:hAnsiTheme="minorHAnsi" w:cs="Arial"/>
                <w:bCs/>
                <w:sz w:val="22"/>
                <w:szCs w:val="22"/>
                <w:lang w:eastAsia="en-GB"/>
              </w:rPr>
              <w:t>f</w:t>
            </w:r>
            <w:r w:rsidRPr="007368D7">
              <w:rPr>
                <w:rFonts w:asciiTheme="minorHAnsi" w:hAnsiTheme="minorHAnsi" w:cs="Arial"/>
                <w:sz w:val="22"/>
                <w:szCs w:val="22"/>
                <w:lang w:eastAsia="en-GB"/>
              </w:rPr>
              <w:t xml:space="preserve">lat, </w:t>
            </w:r>
            <w:r w:rsidRPr="007368D7">
              <w:rPr>
                <w:rFonts w:asciiTheme="minorHAnsi" w:hAnsiTheme="minorHAnsi" w:cs="Arial"/>
                <w:bCs/>
                <w:sz w:val="22"/>
                <w:szCs w:val="22"/>
                <w:lang w:eastAsia="en-GB"/>
              </w:rPr>
              <w:t>b</w:t>
            </w:r>
            <w:r w:rsidRPr="007368D7">
              <w:rPr>
                <w:rFonts w:asciiTheme="minorHAnsi" w:hAnsiTheme="minorHAnsi" w:cs="Arial"/>
                <w:sz w:val="22"/>
                <w:szCs w:val="22"/>
                <w:lang w:eastAsia="en-GB"/>
              </w:rPr>
              <w:t>ungalow)</w:t>
            </w:r>
          </w:p>
        </w:tc>
        <w:tc>
          <w:tcPr>
            <w:tcW w:w="680" w:type="pct"/>
            <w:tcBorders>
              <w:top w:val="nil"/>
              <w:left w:val="nil"/>
              <w:bottom w:val="single" w:sz="4" w:space="0" w:color="auto"/>
              <w:right w:val="single" w:sz="4" w:space="0" w:color="auto"/>
            </w:tcBorders>
            <w:shd w:val="clear" w:color="auto" w:fill="auto"/>
            <w:noWrap/>
            <w:vAlign w:val="bottom"/>
            <w:hideMark/>
          </w:tcPr>
          <w:p w14:paraId="27B19848"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c>
          <w:tcPr>
            <w:tcW w:w="862" w:type="pct"/>
            <w:tcBorders>
              <w:top w:val="nil"/>
              <w:left w:val="nil"/>
              <w:bottom w:val="single" w:sz="4" w:space="0" w:color="auto"/>
              <w:right w:val="single" w:sz="4" w:space="0" w:color="auto"/>
            </w:tcBorders>
            <w:shd w:val="clear" w:color="auto" w:fill="auto"/>
            <w:noWrap/>
            <w:vAlign w:val="bottom"/>
            <w:hideMark/>
          </w:tcPr>
          <w:p w14:paraId="632BBA33"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c>
          <w:tcPr>
            <w:tcW w:w="813" w:type="pct"/>
            <w:tcBorders>
              <w:top w:val="nil"/>
              <w:left w:val="nil"/>
              <w:bottom w:val="single" w:sz="4" w:space="0" w:color="auto"/>
              <w:right w:val="single" w:sz="4" w:space="0" w:color="auto"/>
            </w:tcBorders>
            <w:shd w:val="clear" w:color="auto" w:fill="auto"/>
            <w:noWrap/>
            <w:vAlign w:val="bottom"/>
            <w:hideMark/>
          </w:tcPr>
          <w:p w14:paraId="1F9331A3"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c>
          <w:tcPr>
            <w:tcW w:w="521" w:type="pct"/>
            <w:tcBorders>
              <w:top w:val="nil"/>
              <w:left w:val="nil"/>
              <w:bottom w:val="single" w:sz="4" w:space="0" w:color="auto"/>
              <w:right w:val="single" w:sz="4" w:space="0" w:color="auto"/>
            </w:tcBorders>
            <w:shd w:val="clear" w:color="auto" w:fill="auto"/>
            <w:noWrap/>
            <w:vAlign w:val="bottom"/>
            <w:hideMark/>
          </w:tcPr>
          <w:p w14:paraId="6CE3FE66"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A0019" w:rsidRPr="007A0019" w14:paraId="7C3C14A2"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76AB1789" w14:textId="617B0B81"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w:t>
            </w:r>
            <w:r w:rsidR="00060C96" w:rsidRPr="007368D7">
              <w:rPr>
                <w:rFonts w:asciiTheme="minorHAnsi" w:hAnsiTheme="minorHAnsi" w:cs="Arial"/>
                <w:color w:val="000000"/>
                <w:sz w:val="22"/>
                <w:szCs w:val="22"/>
                <w:lang w:eastAsia="en-GB"/>
              </w:rPr>
              <w:t>7</w:t>
            </w:r>
          </w:p>
        </w:tc>
        <w:tc>
          <w:tcPr>
            <w:tcW w:w="1862" w:type="pct"/>
            <w:tcBorders>
              <w:top w:val="nil"/>
              <w:left w:val="nil"/>
              <w:bottom w:val="single" w:sz="4" w:space="0" w:color="auto"/>
              <w:right w:val="single" w:sz="4" w:space="0" w:color="auto"/>
            </w:tcBorders>
            <w:shd w:val="clear" w:color="auto" w:fill="auto"/>
            <w:vAlign w:val="center"/>
            <w:hideMark/>
          </w:tcPr>
          <w:p w14:paraId="1CB2E526" w14:textId="77777777" w:rsidR="007A0019" w:rsidRPr="007368D7" w:rsidRDefault="007A0019" w:rsidP="007368D7">
            <w:pPr>
              <w:spacing w:before="20" w:afterLines="20" w:after="48"/>
              <w:rPr>
                <w:rFonts w:asciiTheme="minorHAnsi" w:hAnsiTheme="minorHAnsi" w:cs="Arial"/>
                <w:sz w:val="22"/>
                <w:szCs w:val="22"/>
                <w:lang w:eastAsia="en-GB"/>
              </w:rPr>
            </w:pPr>
            <w:r w:rsidRPr="007368D7">
              <w:rPr>
                <w:rFonts w:asciiTheme="minorHAnsi" w:hAnsiTheme="minorHAnsi" w:cs="Arial"/>
                <w:sz w:val="22"/>
                <w:szCs w:val="22"/>
                <w:lang w:eastAsia="en-GB"/>
              </w:rPr>
              <w:t>Have they travelled / plan to travel</w:t>
            </w:r>
          </w:p>
        </w:tc>
        <w:tc>
          <w:tcPr>
            <w:tcW w:w="680" w:type="pct"/>
            <w:tcBorders>
              <w:top w:val="nil"/>
              <w:left w:val="nil"/>
              <w:bottom w:val="single" w:sz="4" w:space="0" w:color="auto"/>
              <w:right w:val="single" w:sz="4" w:space="0" w:color="auto"/>
            </w:tcBorders>
            <w:shd w:val="clear" w:color="auto" w:fill="auto"/>
            <w:noWrap/>
            <w:vAlign w:val="bottom"/>
            <w:hideMark/>
          </w:tcPr>
          <w:p w14:paraId="160DA3EC"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Y/N</w:t>
            </w:r>
          </w:p>
        </w:tc>
        <w:tc>
          <w:tcPr>
            <w:tcW w:w="862" w:type="pct"/>
            <w:tcBorders>
              <w:top w:val="nil"/>
              <w:left w:val="nil"/>
              <w:bottom w:val="single" w:sz="4" w:space="0" w:color="auto"/>
              <w:right w:val="single" w:sz="4" w:space="0" w:color="auto"/>
            </w:tcBorders>
            <w:shd w:val="clear" w:color="auto" w:fill="auto"/>
            <w:noWrap/>
            <w:vAlign w:val="bottom"/>
            <w:hideMark/>
          </w:tcPr>
          <w:p w14:paraId="2456424B"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Y/N</w:t>
            </w:r>
          </w:p>
        </w:tc>
        <w:tc>
          <w:tcPr>
            <w:tcW w:w="813" w:type="pct"/>
            <w:tcBorders>
              <w:top w:val="nil"/>
              <w:left w:val="nil"/>
              <w:bottom w:val="single" w:sz="4" w:space="0" w:color="auto"/>
              <w:right w:val="single" w:sz="4" w:space="0" w:color="auto"/>
            </w:tcBorders>
            <w:shd w:val="clear" w:color="auto" w:fill="auto"/>
            <w:noWrap/>
            <w:vAlign w:val="bottom"/>
            <w:hideMark/>
          </w:tcPr>
          <w:p w14:paraId="1C39FB82"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Y/N</w:t>
            </w:r>
          </w:p>
        </w:tc>
        <w:tc>
          <w:tcPr>
            <w:tcW w:w="521" w:type="pct"/>
            <w:tcBorders>
              <w:top w:val="nil"/>
              <w:left w:val="nil"/>
              <w:bottom w:val="single" w:sz="4" w:space="0" w:color="auto"/>
              <w:right w:val="single" w:sz="4" w:space="0" w:color="auto"/>
            </w:tcBorders>
            <w:shd w:val="clear" w:color="auto" w:fill="auto"/>
            <w:noWrap/>
            <w:vAlign w:val="bottom"/>
            <w:hideMark/>
          </w:tcPr>
          <w:p w14:paraId="77726FE8"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Y/N</w:t>
            </w:r>
          </w:p>
        </w:tc>
      </w:tr>
      <w:tr w:rsidR="007368D7" w:rsidRPr="007A0019" w14:paraId="4F4A764D" w14:textId="77777777" w:rsidTr="007368D7">
        <w:trPr>
          <w:gridAfter w:val="3"/>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27F086B6" w14:textId="53EC6CCC"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28</w:t>
            </w:r>
          </w:p>
        </w:tc>
        <w:tc>
          <w:tcPr>
            <w:tcW w:w="1862" w:type="pct"/>
            <w:tcBorders>
              <w:top w:val="nil"/>
              <w:left w:val="nil"/>
              <w:bottom w:val="single" w:sz="4" w:space="0" w:color="auto"/>
              <w:right w:val="single" w:sz="4" w:space="0" w:color="auto"/>
            </w:tcBorders>
            <w:shd w:val="clear" w:color="auto" w:fill="auto"/>
            <w:vAlign w:val="bottom"/>
            <w:hideMark/>
          </w:tcPr>
          <w:p w14:paraId="516CB155"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Scope to expand site</w:t>
            </w:r>
          </w:p>
        </w:tc>
        <w:tc>
          <w:tcPr>
            <w:tcW w:w="680" w:type="pct"/>
            <w:tcBorders>
              <w:top w:val="nil"/>
              <w:left w:val="nil"/>
              <w:bottom w:val="single" w:sz="4" w:space="0" w:color="auto"/>
              <w:right w:val="single" w:sz="4" w:space="0" w:color="auto"/>
            </w:tcBorders>
            <w:shd w:val="clear" w:color="auto" w:fill="auto"/>
            <w:noWrap/>
            <w:vAlign w:val="bottom"/>
            <w:hideMark/>
          </w:tcPr>
          <w:p w14:paraId="51DBF314"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7368D7" w:rsidRPr="007A0019" w14:paraId="1C07EE87" w14:textId="77777777" w:rsidTr="007368D7">
        <w:trPr>
          <w:gridAfter w:val="3"/>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76A94DF2" w14:textId="7C893495"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29</w:t>
            </w:r>
          </w:p>
        </w:tc>
        <w:tc>
          <w:tcPr>
            <w:tcW w:w="1862" w:type="pct"/>
            <w:tcBorders>
              <w:top w:val="nil"/>
              <w:left w:val="nil"/>
              <w:bottom w:val="single" w:sz="4" w:space="0" w:color="auto"/>
              <w:right w:val="single" w:sz="4" w:space="0" w:color="auto"/>
            </w:tcBorders>
            <w:shd w:val="clear" w:color="auto" w:fill="auto"/>
            <w:vAlign w:val="bottom"/>
            <w:hideMark/>
          </w:tcPr>
          <w:p w14:paraId="58204548"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No. additional pitches</w:t>
            </w:r>
          </w:p>
        </w:tc>
        <w:tc>
          <w:tcPr>
            <w:tcW w:w="680" w:type="pct"/>
            <w:tcBorders>
              <w:top w:val="nil"/>
              <w:left w:val="nil"/>
              <w:bottom w:val="single" w:sz="4" w:space="0" w:color="auto"/>
              <w:right w:val="single" w:sz="4" w:space="0" w:color="auto"/>
            </w:tcBorders>
            <w:shd w:val="clear" w:color="auto" w:fill="auto"/>
            <w:noWrap/>
            <w:vAlign w:val="bottom"/>
            <w:hideMark/>
          </w:tcPr>
          <w:p w14:paraId="690ECB79"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bl>
    <w:p w14:paraId="5FEDF0AE" w14:textId="77777777" w:rsidR="007368D7" w:rsidRDefault="007368D7">
      <w:r>
        <w:br w:type="page"/>
      </w:r>
    </w:p>
    <w:tbl>
      <w:tblPr>
        <w:tblW w:w="5000" w:type="pct"/>
        <w:tblLook w:val="04A0" w:firstRow="1" w:lastRow="0" w:firstColumn="1" w:lastColumn="0" w:noHBand="0" w:noVBand="1"/>
      </w:tblPr>
      <w:tblGrid>
        <w:gridCol w:w="806"/>
        <w:gridCol w:w="138"/>
        <w:gridCol w:w="5592"/>
        <w:gridCol w:w="2093"/>
        <w:gridCol w:w="2718"/>
        <w:gridCol w:w="4041"/>
      </w:tblGrid>
      <w:tr w:rsidR="007368D7" w:rsidRPr="007A0019" w14:paraId="0BBBAE7B" w14:textId="77777777" w:rsidTr="007368D7">
        <w:trPr>
          <w:gridAfter w:val="2"/>
          <w:wAfter w:w="2196" w:type="pct"/>
        </w:trPr>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67AC5" w14:textId="3A9ACE6D"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30</w:t>
            </w:r>
          </w:p>
        </w:tc>
        <w:tc>
          <w:tcPr>
            <w:tcW w:w="1862" w:type="pct"/>
            <w:gridSpan w:val="2"/>
            <w:tcBorders>
              <w:top w:val="single" w:sz="4" w:space="0" w:color="auto"/>
              <w:left w:val="nil"/>
              <w:bottom w:val="single" w:sz="4" w:space="0" w:color="auto"/>
              <w:right w:val="single" w:sz="4" w:space="0" w:color="auto"/>
            </w:tcBorders>
            <w:shd w:val="clear" w:color="auto" w:fill="auto"/>
            <w:vAlign w:val="bottom"/>
            <w:hideMark/>
          </w:tcPr>
          <w:p w14:paraId="4BB0CD94"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Scope to intensify pitches</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58CB83E6"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7368D7" w:rsidRPr="007A0019" w14:paraId="49879E9A" w14:textId="77777777" w:rsidTr="007368D7">
        <w:trPr>
          <w:gridAfter w:val="2"/>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3A215863" w14:textId="36127E02"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31</w:t>
            </w:r>
          </w:p>
        </w:tc>
        <w:tc>
          <w:tcPr>
            <w:tcW w:w="1862" w:type="pct"/>
            <w:gridSpan w:val="2"/>
            <w:tcBorders>
              <w:top w:val="nil"/>
              <w:left w:val="nil"/>
              <w:bottom w:val="single" w:sz="4" w:space="0" w:color="auto"/>
              <w:right w:val="single" w:sz="4" w:space="0" w:color="auto"/>
            </w:tcBorders>
            <w:shd w:val="clear" w:color="auto" w:fill="auto"/>
            <w:vAlign w:val="bottom"/>
            <w:hideMark/>
          </w:tcPr>
          <w:p w14:paraId="2C488E2E"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No. additional pitches</w:t>
            </w:r>
          </w:p>
        </w:tc>
        <w:tc>
          <w:tcPr>
            <w:tcW w:w="680" w:type="pct"/>
            <w:tcBorders>
              <w:top w:val="nil"/>
              <w:left w:val="nil"/>
              <w:bottom w:val="single" w:sz="4" w:space="0" w:color="auto"/>
              <w:right w:val="single" w:sz="4" w:space="0" w:color="auto"/>
            </w:tcBorders>
            <w:shd w:val="clear" w:color="auto" w:fill="auto"/>
            <w:noWrap/>
            <w:vAlign w:val="bottom"/>
            <w:hideMark/>
          </w:tcPr>
          <w:p w14:paraId="768347BC"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368D7" w:rsidRPr="007A0019" w14:paraId="44FD2531" w14:textId="77777777" w:rsidTr="007368D7">
        <w:trPr>
          <w:gridAfter w:val="2"/>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72DC66BD" w14:textId="5BFD8080"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32</w:t>
            </w:r>
          </w:p>
        </w:tc>
        <w:tc>
          <w:tcPr>
            <w:tcW w:w="1862" w:type="pct"/>
            <w:gridSpan w:val="2"/>
            <w:tcBorders>
              <w:top w:val="nil"/>
              <w:left w:val="nil"/>
              <w:bottom w:val="single" w:sz="4" w:space="0" w:color="auto"/>
              <w:right w:val="single" w:sz="4" w:space="0" w:color="auto"/>
            </w:tcBorders>
            <w:shd w:val="clear" w:color="auto" w:fill="auto"/>
            <w:vAlign w:val="bottom"/>
            <w:hideMark/>
          </w:tcPr>
          <w:p w14:paraId="0C5E56FA"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Is there a need for transit pitches (for people stopping over temporarily) in the district?</w:t>
            </w:r>
          </w:p>
        </w:tc>
        <w:tc>
          <w:tcPr>
            <w:tcW w:w="680" w:type="pct"/>
            <w:tcBorders>
              <w:top w:val="nil"/>
              <w:left w:val="nil"/>
              <w:bottom w:val="single" w:sz="4" w:space="0" w:color="auto"/>
              <w:right w:val="single" w:sz="4" w:space="0" w:color="auto"/>
            </w:tcBorders>
            <w:shd w:val="clear" w:color="auto" w:fill="auto"/>
            <w:noWrap/>
            <w:vAlign w:val="bottom"/>
            <w:hideMark/>
          </w:tcPr>
          <w:p w14:paraId="1A3B611B"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7368D7" w:rsidRPr="007A0019" w14:paraId="0E6831D4" w14:textId="77777777" w:rsidTr="007368D7">
        <w:trPr>
          <w:gridAfter w:val="2"/>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3E88A63D" w14:textId="6B8FC6B4"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33</w:t>
            </w:r>
          </w:p>
        </w:tc>
        <w:tc>
          <w:tcPr>
            <w:tcW w:w="1862" w:type="pct"/>
            <w:gridSpan w:val="2"/>
            <w:tcBorders>
              <w:top w:val="nil"/>
              <w:left w:val="nil"/>
              <w:bottom w:val="single" w:sz="4" w:space="0" w:color="auto"/>
              <w:right w:val="single" w:sz="4" w:space="0" w:color="auto"/>
            </w:tcBorders>
            <w:shd w:val="clear" w:color="auto" w:fill="auto"/>
            <w:vAlign w:val="bottom"/>
            <w:hideMark/>
          </w:tcPr>
          <w:p w14:paraId="1B5E390B"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If so, now many are needed?</w:t>
            </w:r>
          </w:p>
        </w:tc>
        <w:tc>
          <w:tcPr>
            <w:tcW w:w="680" w:type="pct"/>
            <w:tcBorders>
              <w:top w:val="nil"/>
              <w:left w:val="nil"/>
              <w:bottom w:val="single" w:sz="4" w:space="0" w:color="auto"/>
              <w:right w:val="single" w:sz="4" w:space="0" w:color="auto"/>
            </w:tcBorders>
            <w:shd w:val="clear" w:color="auto" w:fill="auto"/>
            <w:noWrap/>
            <w:vAlign w:val="bottom"/>
            <w:hideMark/>
          </w:tcPr>
          <w:p w14:paraId="08BF2E65"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368D7" w:rsidRPr="007A0019" w14:paraId="653880D7" w14:textId="77777777" w:rsidTr="007368D7">
        <w:trPr>
          <w:gridAfter w:val="2"/>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4E4C4CE9" w14:textId="5528A80A"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34</w:t>
            </w:r>
          </w:p>
        </w:tc>
        <w:tc>
          <w:tcPr>
            <w:tcW w:w="1862" w:type="pct"/>
            <w:gridSpan w:val="2"/>
            <w:tcBorders>
              <w:top w:val="nil"/>
              <w:left w:val="nil"/>
              <w:bottom w:val="single" w:sz="4" w:space="0" w:color="auto"/>
              <w:right w:val="single" w:sz="4" w:space="0" w:color="auto"/>
            </w:tcBorders>
            <w:shd w:val="clear" w:color="auto" w:fill="auto"/>
            <w:vAlign w:val="bottom"/>
            <w:hideMark/>
          </w:tcPr>
          <w:p w14:paraId="602F57A4"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Who should manage them (Council, Traveller Community)</w:t>
            </w:r>
          </w:p>
        </w:tc>
        <w:tc>
          <w:tcPr>
            <w:tcW w:w="680" w:type="pct"/>
            <w:tcBorders>
              <w:top w:val="nil"/>
              <w:left w:val="nil"/>
              <w:bottom w:val="single" w:sz="4" w:space="0" w:color="auto"/>
              <w:right w:val="single" w:sz="4" w:space="0" w:color="auto"/>
            </w:tcBorders>
            <w:shd w:val="clear" w:color="auto" w:fill="auto"/>
            <w:noWrap/>
            <w:vAlign w:val="bottom"/>
            <w:hideMark/>
          </w:tcPr>
          <w:p w14:paraId="134215FB"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368D7" w:rsidRPr="007A0019" w14:paraId="332D0A3E" w14:textId="77777777" w:rsidTr="007368D7">
        <w:trPr>
          <w:gridAfter w:val="2"/>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43B3A221" w14:textId="4A581CFC"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35</w:t>
            </w:r>
          </w:p>
        </w:tc>
        <w:tc>
          <w:tcPr>
            <w:tcW w:w="1862" w:type="pct"/>
            <w:gridSpan w:val="2"/>
            <w:tcBorders>
              <w:top w:val="nil"/>
              <w:left w:val="nil"/>
              <w:bottom w:val="single" w:sz="4" w:space="0" w:color="auto"/>
              <w:right w:val="single" w:sz="4" w:space="0" w:color="auto"/>
            </w:tcBorders>
            <w:shd w:val="clear" w:color="auto" w:fill="auto"/>
            <w:vAlign w:val="bottom"/>
            <w:hideMark/>
          </w:tcPr>
          <w:p w14:paraId="5D5FA6A6" w14:textId="1CBFECA8"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Is there a need for more authorised pitches (for people to live on all the time?)</w:t>
            </w:r>
          </w:p>
        </w:tc>
        <w:tc>
          <w:tcPr>
            <w:tcW w:w="680" w:type="pct"/>
            <w:tcBorders>
              <w:top w:val="nil"/>
              <w:left w:val="nil"/>
              <w:bottom w:val="single" w:sz="4" w:space="0" w:color="auto"/>
              <w:right w:val="single" w:sz="4" w:space="0" w:color="auto"/>
            </w:tcBorders>
            <w:shd w:val="clear" w:color="auto" w:fill="auto"/>
            <w:noWrap/>
            <w:vAlign w:val="bottom"/>
            <w:hideMark/>
          </w:tcPr>
          <w:p w14:paraId="39892644"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Y / N</w:t>
            </w:r>
          </w:p>
        </w:tc>
      </w:tr>
      <w:tr w:rsidR="007368D7" w:rsidRPr="007A0019" w14:paraId="2709A13E" w14:textId="77777777" w:rsidTr="007368D7">
        <w:trPr>
          <w:gridAfter w:val="2"/>
          <w:wAfter w:w="2196" w:type="pct"/>
        </w:trPr>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61EEBBA5" w14:textId="6375CD08"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36</w:t>
            </w:r>
          </w:p>
        </w:tc>
        <w:tc>
          <w:tcPr>
            <w:tcW w:w="1862" w:type="pct"/>
            <w:gridSpan w:val="2"/>
            <w:tcBorders>
              <w:top w:val="nil"/>
              <w:left w:val="nil"/>
              <w:bottom w:val="single" w:sz="4" w:space="0" w:color="auto"/>
              <w:right w:val="single" w:sz="4" w:space="0" w:color="auto"/>
            </w:tcBorders>
            <w:shd w:val="clear" w:color="auto" w:fill="auto"/>
            <w:vAlign w:val="bottom"/>
            <w:hideMark/>
          </w:tcPr>
          <w:p w14:paraId="1EA1A1F4"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If so, now many are needed?</w:t>
            </w:r>
          </w:p>
        </w:tc>
        <w:tc>
          <w:tcPr>
            <w:tcW w:w="680" w:type="pct"/>
            <w:tcBorders>
              <w:top w:val="nil"/>
              <w:left w:val="nil"/>
              <w:bottom w:val="single" w:sz="4" w:space="0" w:color="auto"/>
              <w:right w:val="single" w:sz="4" w:space="0" w:color="auto"/>
            </w:tcBorders>
            <w:shd w:val="clear" w:color="auto" w:fill="auto"/>
            <w:noWrap/>
            <w:vAlign w:val="bottom"/>
            <w:hideMark/>
          </w:tcPr>
          <w:p w14:paraId="39CECE87" w14:textId="77777777" w:rsidR="007368D7" w:rsidRPr="007368D7" w:rsidRDefault="007368D7"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A0019" w:rsidRPr="007A0019" w14:paraId="0E36696D"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hideMark/>
          </w:tcPr>
          <w:p w14:paraId="377B8E08" w14:textId="57F1E1E9"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w:t>
            </w:r>
            <w:r w:rsidR="00060C96" w:rsidRPr="007368D7">
              <w:rPr>
                <w:rFonts w:asciiTheme="minorHAnsi" w:hAnsiTheme="minorHAnsi" w:cs="Arial"/>
                <w:color w:val="000000"/>
                <w:sz w:val="22"/>
                <w:szCs w:val="22"/>
                <w:lang w:eastAsia="en-GB"/>
              </w:rPr>
              <w:t>7</w:t>
            </w:r>
          </w:p>
        </w:tc>
        <w:tc>
          <w:tcPr>
            <w:tcW w:w="1862" w:type="pct"/>
            <w:gridSpan w:val="2"/>
            <w:tcBorders>
              <w:top w:val="nil"/>
              <w:left w:val="nil"/>
              <w:bottom w:val="single" w:sz="4" w:space="0" w:color="auto"/>
              <w:right w:val="single" w:sz="4" w:space="0" w:color="auto"/>
            </w:tcBorders>
            <w:shd w:val="clear" w:color="auto" w:fill="auto"/>
            <w:vAlign w:val="center"/>
            <w:hideMark/>
          </w:tcPr>
          <w:p w14:paraId="1A049FD3"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How many years have you lived here?</w:t>
            </w:r>
          </w:p>
        </w:tc>
        <w:tc>
          <w:tcPr>
            <w:tcW w:w="680" w:type="pct"/>
            <w:tcBorders>
              <w:top w:val="nil"/>
              <w:left w:val="nil"/>
              <w:bottom w:val="single" w:sz="4" w:space="0" w:color="auto"/>
              <w:right w:val="single" w:sz="4" w:space="0" w:color="auto"/>
            </w:tcBorders>
            <w:shd w:val="clear" w:color="auto" w:fill="auto"/>
            <w:noWrap/>
            <w:vAlign w:val="bottom"/>
            <w:hideMark/>
          </w:tcPr>
          <w:p w14:paraId="3E74301A" w14:textId="77777777" w:rsidR="007A0019" w:rsidRPr="007368D7" w:rsidRDefault="007A0019"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c>
          <w:tcPr>
            <w:tcW w:w="2196" w:type="pct"/>
            <w:gridSpan w:val="2"/>
            <w:tcBorders>
              <w:top w:val="nil"/>
              <w:left w:val="nil"/>
              <w:bottom w:val="nil"/>
              <w:right w:val="nil"/>
            </w:tcBorders>
            <w:shd w:val="clear" w:color="auto" w:fill="auto"/>
            <w:noWrap/>
            <w:vAlign w:val="bottom"/>
            <w:hideMark/>
          </w:tcPr>
          <w:p w14:paraId="0A66361B" w14:textId="77777777" w:rsidR="007A0019" w:rsidRPr="007368D7" w:rsidRDefault="007A0019" w:rsidP="007368D7">
            <w:pPr>
              <w:spacing w:before="20" w:afterLines="20" w:after="48"/>
              <w:jc w:val="left"/>
              <w:rPr>
                <w:rFonts w:asciiTheme="minorHAnsi" w:hAnsiTheme="minorHAnsi"/>
                <w:b/>
                <w:bCs/>
                <w:color w:val="000000"/>
                <w:sz w:val="22"/>
                <w:szCs w:val="22"/>
                <w:lang w:eastAsia="en-GB"/>
              </w:rPr>
            </w:pPr>
            <w:r w:rsidRPr="007368D7">
              <w:rPr>
                <w:rFonts w:asciiTheme="minorHAnsi" w:hAnsiTheme="minorHAnsi"/>
                <w:b/>
                <w:bCs/>
                <w:color w:val="000000"/>
                <w:sz w:val="22"/>
                <w:szCs w:val="22"/>
                <w:lang w:eastAsia="en-GB"/>
              </w:rPr>
              <w:t>If less than 6 years, please ask supplementary questions</w:t>
            </w:r>
          </w:p>
        </w:tc>
      </w:tr>
      <w:tr w:rsidR="00060C96" w:rsidRPr="007A0019" w14:paraId="669A9172" w14:textId="77777777" w:rsidTr="007368D7">
        <w:tc>
          <w:tcPr>
            <w:tcW w:w="262" w:type="pct"/>
            <w:tcBorders>
              <w:top w:val="nil"/>
              <w:left w:val="single" w:sz="4" w:space="0" w:color="auto"/>
              <w:bottom w:val="single" w:sz="4" w:space="0" w:color="auto"/>
              <w:right w:val="single" w:sz="4" w:space="0" w:color="auto"/>
            </w:tcBorders>
            <w:shd w:val="clear" w:color="auto" w:fill="auto"/>
            <w:noWrap/>
            <w:vAlign w:val="center"/>
          </w:tcPr>
          <w:p w14:paraId="5DD0836E" w14:textId="457F7141" w:rsidR="00060C96" w:rsidRPr="007368D7" w:rsidRDefault="00060C96"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38</w:t>
            </w:r>
          </w:p>
        </w:tc>
        <w:tc>
          <w:tcPr>
            <w:tcW w:w="1862" w:type="pct"/>
            <w:gridSpan w:val="2"/>
            <w:tcBorders>
              <w:top w:val="nil"/>
              <w:left w:val="nil"/>
              <w:bottom w:val="single" w:sz="4" w:space="0" w:color="auto"/>
              <w:right w:val="single" w:sz="4" w:space="0" w:color="auto"/>
            </w:tcBorders>
            <w:shd w:val="clear" w:color="auto" w:fill="auto"/>
            <w:vAlign w:val="center"/>
          </w:tcPr>
          <w:p w14:paraId="234F03A8" w14:textId="6F808FDF" w:rsidR="00060C96" w:rsidRPr="007368D7" w:rsidRDefault="00060C96" w:rsidP="007368D7">
            <w:pPr>
              <w:spacing w:before="20" w:afterLines="20" w:after="48"/>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Are there any vacant pitches on the site which could be used by another family? If so how many pitches?</w:t>
            </w:r>
          </w:p>
        </w:tc>
        <w:tc>
          <w:tcPr>
            <w:tcW w:w="680" w:type="pct"/>
            <w:tcBorders>
              <w:top w:val="nil"/>
              <w:left w:val="nil"/>
              <w:bottom w:val="single" w:sz="4" w:space="0" w:color="auto"/>
              <w:right w:val="single" w:sz="4" w:space="0" w:color="auto"/>
            </w:tcBorders>
            <w:shd w:val="clear" w:color="auto" w:fill="auto"/>
            <w:noWrap/>
            <w:vAlign w:val="bottom"/>
          </w:tcPr>
          <w:p w14:paraId="294BFEB4" w14:textId="77777777" w:rsidR="00060C96" w:rsidRPr="007368D7" w:rsidRDefault="00060C96" w:rsidP="007368D7">
            <w:pPr>
              <w:spacing w:before="20" w:afterLines="20" w:after="48"/>
              <w:jc w:val="left"/>
              <w:rPr>
                <w:rFonts w:asciiTheme="minorHAnsi" w:hAnsiTheme="minorHAnsi" w:cs="Arial"/>
                <w:color w:val="000000"/>
                <w:sz w:val="22"/>
                <w:szCs w:val="22"/>
                <w:lang w:eastAsia="en-GB"/>
              </w:rPr>
            </w:pPr>
          </w:p>
        </w:tc>
        <w:tc>
          <w:tcPr>
            <w:tcW w:w="2196" w:type="pct"/>
            <w:gridSpan w:val="2"/>
            <w:tcBorders>
              <w:top w:val="nil"/>
              <w:left w:val="nil"/>
              <w:bottom w:val="nil"/>
              <w:right w:val="nil"/>
            </w:tcBorders>
            <w:shd w:val="clear" w:color="auto" w:fill="auto"/>
            <w:noWrap/>
            <w:vAlign w:val="bottom"/>
          </w:tcPr>
          <w:p w14:paraId="6376FB7B" w14:textId="77777777" w:rsidR="00060C96" w:rsidRPr="007368D7" w:rsidRDefault="00060C96" w:rsidP="007368D7">
            <w:pPr>
              <w:spacing w:before="20" w:afterLines="20" w:after="48"/>
              <w:jc w:val="left"/>
              <w:rPr>
                <w:rFonts w:asciiTheme="minorHAnsi" w:hAnsiTheme="minorHAnsi"/>
                <w:b/>
                <w:bCs/>
                <w:color w:val="000000"/>
                <w:sz w:val="22"/>
                <w:szCs w:val="22"/>
                <w:lang w:eastAsia="en-GB"/>
              </w:rPr>
            </w:pPr>
          </w:p>
        </w:tc>
      </w:tr>
      <w:tr w:rsidR="007368D7" w:rsidRPr="007368D7" w14:paraId="1D8BC120" w14:textId="77777777" w:rsidTr="007368D7">
        <w:trPr>
          <w:trHeight w:val="320"/>
        </w:trPr>
        <w:tc>
          <w:tcPr>
            <w:tcW w:w="3687" w:type="pct"/>
            <w:gridSpan w:val="5"/>
            <w:tcBorders>
              <w:top w:val="nil"/>
              <w:left w:val="nil"/>
              <w:bottom w:val="nil"/>
              <w:right w:val="nil"/>
            </w:tcBorders>
            <w:shd w:val="clear" w:color="auto" w:fill="auto"/>
            <w:noWrap/>
            <w:vAlign w:val="bottom"/>
            <w:hideMark/>
          </w:tcPr>
          <w:p w14:paraId="36E13AB1" w14:textId="7B643238" w:rsidR="007368D7" w:rsidRPr="007368D7" w:rsidRDefault="007368D7" w:rsidP="007A0019">
            <w:pPr>
              <w:spacing w:before="0" w:after="0"/>
              <w:jc w:val="left"/>
              <w:rPr>
                <w:rFonts w:asciiTheme="minorHAnsi" w:hAnsiTheme="minorHAnsi" w:cs="Arial"/>
                <w:b/>
                <w:bCs/>
                <w:color w:val="000000"/>
                <w:szCs w:val="22"/>
                <w:lang w:eastAsia="en-GB"/>
              </w:rPr>
            </w:pPr>
          </w:p>
          <w:p w14:paraId="514D0BBC" w14:textId="77777777" w:rsidR="007368D7" w:rsidRDefault="007368D7" w:rsidP="007A0019">
            <w:pPr>
              <w:spacing w:before="0" w:after="0"/>
              <w:jc w:val="left"/>
              <w:rPr>
                <w:rFonts w:asciiTheme="minorHAnsi" w:hAnsiTheme="minorHAnsi" w:cs="Arial"/>
                <w:b/>
                <w:bCs/>
                <w:color w:val="000000"/>
                <w:szCs w:val="22"/>
                <w:lang w:eastAsia="en-GB"/>
              </w:rPr>
            </w:pPr>
            <w:r w:rsidRPr="007368D7">
              <w:rPr>
                <w:rFonts w:asciiTheme="minorHAnsi" w:hAnsiTheme="minorHAnsi" w:cs="Arial"/>
                <w:b/>
                <w:bCs/>
                <w:color w:val="000000"/>
                <w:szCs w:val="22"/>
                <w:lang w:eastAsia="en-GB"/>
              </w:rPr>
              <w:t>Supplementary questions if relevant</w:t>
            </w:r>
          </w:p>
          <w:p w14:paraId="5877363D" w14:textId="19B86024" w:rsidR="007368D7" w:rsidRPr="007368D7" w:rsidRDefault="007368D7" w:rsidP="007A0019">
            <w:pPr>
              <w:spacing w:before="0" w:after="0"/>
              <w:jc w:val="left"/>
              <w:rPr>
                <w:rFonts w:asciiTheme="minorHAnsi" w:hAnsiTheme="minorHAnsi" w:cs="Arial"/>
                <w:b/>
                <w:bCs/>
                <w:color w:val="000000"/>
                <w:szCs w:val="22"/>
                <w:lang w:eastAsia="en-GB"/>
              </w:rPr>
            </w:pPr>
          </w:p>
        </w:tc>
        <w:tc>
          <w:tcPr>
            <w:tcW w:w="1313" w:type="pct"/>
            <w:tcBorders>
              <w:top w:val="nil"/>
              <w:left w:val="nil"/>
              <w:bottom w:val="nil"/>
              <w:right w:val="nil"/>
            </w:tcBorders>
            <w:shd w:val="clear" w:color="auto" w:fill="auto"/>
            <w:noWrap/>
            <w:vAlign w:val="bottom"/>
            <w:hideMark/>
          </w:tcPr>
          <w:p w14:paraId="7068B27A" w14:textId="77777777" w:rsidR="007368D7" w:rsidRPr="007368D7" w:rsidRDefault="007368D7" w:rsidP="007A0019">
            <w:pPr>
              <w:spacing w:before="0" w:after="0"/>
              <w:jc w:val="left"/>
              <w:rPr>
                <w:rFonts w:asciiTheme="minorHAnsi" w:hAnsiTheme="minorHAnsi" w:cs="Arial"/>
                <w:b/>
                <w:bCs/>
                <w:color w:val="000000"/>
                <w:szCs w:val="22"/>
                <w:lang w:eastAsia="en-GB"/>
              </w:rPr>
            </w:pPr>
          </w:p>
        </w:tc>
      </w:tr>
      <w:tr w:rsidR="007368D7" w:rsidRPr="007A0019" w14:paraId="5D811FF6" w14:textId="77777777" w:rsidTr="007368D7">
        <w:tc>
          <w:tcPr>
            <w:tcW w:w="3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CB31B" w14:textId="5ECA4B7A"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39</w:t>
            </w:r>
          </w:p>
        </w:tc>
        <w:tc>
          <w:tcPr>
            <w:tcW w:w="3380" w:type="pct"/>
            <w:gridSpan w:val="3"/>
            <w:tcBorders>
              <w:top w:val="single" w:sz="4" w:space="0" w:color="auto"/>
              <w:left w:val="nil"/>
              <w:bottom w:val="single" w:sz="4" w:space="0" w:color="auto"/>
              <w:right w:val="single" w:sz="4" w:space="0" w:color="auto"/>
            </w:tcBorders>
            <w:shd w:val="clear" w:color="auto" w:fill="auto"/>
            <w:vAlign w:val="bottom"/>
            <w:hideMark/>
          </w:tcPr>
          <w:p w14:paraId="6BEFDB69" w14:textId="77777777"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Where did you move from?</w:t>
            </w:r>
            <w:r w:rsidRPr="007368D7">
              <w:rPr>
                <w:rFonts w:asciiTheme="minorHAnsi" w:hAnsiTheme="minorHAnsi" w:cs="Arial"/>
                <w:b/>
                <w:bCs/>
                <w:color w:val="000000"/>
                <w:sz w:val="22"/>
                <w:szCs w:val="22"/>
                <w:lang w:eastAsia="en-GB"/>
              </w:rPr>
              <w:t xml:space="preserve"> (District)</w:t>
            </w:r>
          </w:p>
        </w:tc>
        <w:tc>
          <w:tcPr>
            <w:tcW w:w="1313" w:type="pct"/>
            <w:tcBorders>
              <w:top w:val="single" w:sz="4" w:space="0" w:color="auto"/>
              <w:left w:val="nil"/>
              <w:bottom w:val="single" w:sz="4" w:space="0" w:color="auto"/>
              <w:right w:val="single" w:sz="4" w:space="0" w:color="auto"/>
            </w:tcBorders>
            <w:shd w:val="clear" w:color="auto" w:fill="auto"/>
            <w:vAlign w:val="bottom"/>
            <w:hideMark/>
          </w:tcPr>
          <w:p w14:paraId="6BC14BB8" w14:textId="77777777"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368D7" w:rsidRPr="007A0019" w14:paraId="3CBB5693" w14:textId="77777777" w:rsidTr="007368D7">
        <w:tc>
          <w:tcPr>
            <w:tcW w:w="307" w:type="pct"/>
            <w:gridSpan w:val="2"/>
            <w:tcBorders>
              <w:top w:val="nil"/>
              <w:left w:val="single" w:sz="4" w:space="0" w:color="auto"/>
              <w:bottom w:val="single" w:sz="4" w:space="0" w:color="auto"/>
              <w:right w:val="single" w:sz="4" w:space="0" w:color="auto"/>
            </w:tcBorders>
            <w:shd w:val="clear" w:color="auto" w:fill="auto"/>
            <w:noWrap/>
            <w:vAlign w:val="center"/>
            <w:hideMark/>
          </w:tcPr>
          <w:p w14:paraId="3DB41B06" w14:textId="73B8827F"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40</w:t>
            </w:r>
          </w:p>
        </w:tc>
        <w:tc>
          <w:tcPr>
            <w:tcW w:w="3380" w:type="pct"/>
            <w:gridSpan w:val="3"/>
            <w:tcBorders>
              <w:top w:val="nil"/>
              <w:left w:val="nil"/>
              <w:bottom w:val="single" w:sz="4" w:space="0" w:color="auto"/>
              <w:right w:val="single" w:sz="4" w:space="0" w:color="auto"/>
            </w:tcBorders>
            <w:shd w:val="clear" w:color="auto" w:fill="auto"/>
            <w:vAlign w:val="bottom"/>
            <w:hideMark/>
          </w:tcPr>
          <w:p w14:paraId="417D9C48" w14:textId="6E2D4780"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Were you living on a Private Site, Council Site, Roadside or Bricks and Mortar housing?</w:t>
            </w:r>
          </w:p>
        </w:tc>
        <w:tc>
          <w:tcPr>
            <w:tcW w:w="1313" w:type="pct"/>
            <w:tcBorders>
              <w:top w:val="nil"/>
              <w:left w:val="nil"/>
              <w:bottom w:val="single" w:sz="4" w:space="0" w:color="auto"/>
              <w:right w:val="single" w:sz="4" w:space="0" w:color="auto"/>
            </w:tcBorders>
            <w:shd w:val="clear" w:color="auto" w:fill="auto"/>
            <w:vAlign w:val="bottom"/>
            <w:hideMark/>
          </w:tcPr>
          <w:p w14:paraId="0AE14D9A" w14:textId="77777777"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 </w:t>
            </w:r>
          </w:p>
        </w:tc>
      </w:tr>
      <w:tr w:rsidR="007368D7" w:rsidRPr="007A0019" w14:paraId="5B18C6D1" w14:textId="77777777" w:rsidTr="007368D7">
        <w:tc>
          <w:tcPr>
            <w:tcW w:w="307" w:type="pct"/>
            <w:gridSpan w:val="2"/>
            <w:tcBorders>
              <w:top w:val="nil"/>
              <w:left w:val="single" w:sz="4" w:space="0" w:color="auto"/>
              <w:bottom w:val="single" w:sz="4" w:space="0" w:color="auto"/>
              <w:right w:val="single" w:sz="4" w:space="0" w:color="auto"/>
            </w:tcBorders>
            <w:shd w:val="clear" w:color="auto" w:fill="auto"/>
            <w:noWrap/>
            <w:vAlign w:val="center"/>
            <w:hideMark/>
          </w:tcPr>
          <w:p w14:paraId="79F52738" w14:textId="7CB7A473"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41</w:t>
            </w:r>
          </w:p>
        </w:tc>
        <w:tc>
          <w:tcPr>
            <w:tcW w:w="3380" w:type="pct"/>
            <w:gridSpan w:val="3"/>
            <w:tcBorders>
              <w:top w:val="nil"/>
              <w:left w:val="nil"/>
              <w:bottom w:val="single" w:sz="4" w:space="0" w:color="auto"/>
              <w:right w:val="single" w:sz="4" w:space="0" w:color="auto"/>
            </w:tcBorders>
            <w:shd w:val="clear" w:color="auto" w:fill="auto"/>
            <w:vAlign w:val="bottom"/>
            <w:hideMark/>
          </w:tcPr>
          <w:p w14:paraId="4CEE8162" w14:textId="142E8074"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When you moved here, was the pitch vacant, a new pitch or was the pitch sub-divided?</w:t>
            </w:r>
          </w:p>
        </w:tc>
        <w:tc>
          <w:tcPr>
            <w:tcW w:w="1313" w:type="pct"/>
            <w:tcBorders>
              <w:top w:val="nil"/>
              <w:left w:val="nil"/>
              <w:bottom w:val="single" w:sz="4" w:space="0" w:color="auto"/>
              <w:right w:val="single" w:sz="4" w:space="0" w:color="auto"/>
            </w:tcBorders>
            <w:shd w:val="clear" w:color="auto" w:fill="auto"/>
            <w:vAlign w:val="bottom"/>
            <w:hideMark/>
          </w:tcPr>
          <w:p w14:paraId="74E6781F" w14:textId="77777777" w:rsidR="007368D7" w:rsidRPr="007368D7" w:rsidRDefault="007368D7" w:rsidP="007368D7">
            <w:pPr>
              <w:spacing w:before="20" w:after="20"/>
              <w:jc w:val="left"/>
              <w:rPr>
                <w:rFonts w:asciiTheme="minorHAnsi" w:hAnsiTheme="minorHAnsi"/>
                <w:color w:val="000000"/>
                <w:sz w:val="22"/>
                <w:szCs w:val="22"/>
                <w:lang w:eastAsia="en-GB"/>
              </w:rPr>
            </w:pPr>
            <w:r w:rsidRPr="007368D7">
              <w:rPr>
                <w:rFonts w:asciiTheme="minorHAnsi" w:hAnsiTheme="minorHAnsi"/>
                <w:color w:val="000000"/>
                <w:sz w:val="22"/>
                <w:szCs w:val="22"/>
                <w:lang w:eastAsia="en-GB"/>
              </w:rPr>
              <w:t> </w:t>
            </w:r>
          </w:p>
        </w:tc>
      </w:tr>
      <w:tr w:rsidR="007368D7" w:rsidRPr="007A0019" w14:paraId="3C868482" w14:textId="77777777" w:rsidTr="007368D7">
        <w:tc>
          <w:tcPr>
            <w:tcW w:w="307"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9015F1" w14:textId="015354AB"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42</w:t>
            </w:r>
          </w:p>
        </w:tc>
        <w:tc>
          <w:tcPr>
            <w:tcW w:w="3380" w:type="pct"/>
            <w:gridSpan w:val="3"/>
            <w:tcBorders>
              <w:top w:val="nil"/>
              <w:left w:val="nil"/>
              <w:bottom w:val="single" w:sz="4" w:space="0" w:color="auto"/>
              <w:right w:val="single" w:sz="4" w:space="0" w:color="auto"/>
            </w:tcBorders>
            <w:shd w:val="clear" w:color="auto" w:fill="auto"/>
            <w:vAlign w:val="center"/>
            <w:hideMark/>
          </w:tcPr>
          <w:p w14:paraId="12A6AC79" w14:textId="7FBAEA6C"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What were the reasons for moving here?</w:t>
            </w:r>
          </w:p>
        </w:tc>
        <w:tc>
          <w:tcPr>
            <w:tcW w:w="1313" w:type="pct"/>
            <w:tcBorders>
              <w:top w:val="nil"/>
              <w:left w:val="nil"/>
              <w:bottom w:val="single" w:sz="4" w:space="0" w:color="auto"/>
              <w:right w:val="single" w:sz="4" w:space="0" w:color="auto"/>
            </w:tcBorders>
            <w:shd w:val="clear" w:color="auto" w:fill="auto"/>
            <w:hideMark/>
          </w:tcPr>
          <w:p w14:paraId="1F336358" w14:textId="77777777" w:rsidR="007368D7" w:rsidRPr="007368D7" w:rsidRDefault="007368D7" w:rsidP="007368D7">
            <w:pPr>
              <w:spacing w:before="20" w:after="20"/>
              <w:jc w:val="left"/>
              <w:rPr>
                <w:rFonts w:asciiTheme="minorHAnsi" w:hAnsiTheme="minorHAnsi"/>
                <w:color w:val="000000"/>
                <w:sz w:val="22"/>
                <w:szCs w:val="22"/>
                <w:lang w:eastAsia="en-GB"/>
              </w:rPr>
            </w:pPr>
            <w:r w:rsidRPr="007368D7">
              <w:rPr>
                <w:rFonts w:asciiTheme="minorHAnsi" w:hAnsiTheme="minorHAnsi"/>
                <w:color w:val="000000"/>
                <w:sz w:val="22"/>
                <w:szCs w:val="22"/>
                <w:lang w:eastAsia="en-GB"/>
              </w:rPr>
              <w:t> </w:t>
            </w:r>
          </w:p>
        </w:tc>
      </w:tr>
      <w:tr w:rsidR="007368D7" w:rsidRPr="007A0019" w14:paraId="1E0C1088" w14:textId="77777777" w:rsidTr="007368D7">
        <w:tc>
          <w:tcPr>
            <w:tcW w:w="307" w:type="pct"/>
            <w:gridSpan w:val="2"/>
            <w:tcBorders>
              <w:top w:val="nil"/>
              <w:left w:val="single" w:sz="4" w:space="0" w:color="auto"/>
              <w:bottom w:val="single" w:sz="4" w:space="0" w:color="auto"/>
              <w:right w:val="single" w:sz="4" w:space="0" w:color="auto"/>
            </w:tcBorders>
            <w:shd w:val="clear" w:color="000000" w:fill="auto"/>
            <w:noWrap/>
            <w:vAlign w:val="center"/>
            <w:hideMark/>
          </w:tcPr>
          <w:p w14:paraId="0F96538F" w14:textId="0E080329" w:rsidR="007368D7" w:rsidRPr="007368D7" w:rsidRDefault="007368D7" w:rsidP="007368D7">
            <w:pPr>
              <w:spacing w:before="20" w:after="20"/>
              <w:jc w:val="left"/>
              <w:rPr>
                <w:rFonts w:asciiTheme="minorHAnsi" w:hAnsiTheme="minorHAnsi" w:cs="Arial"/>
                <w:color w:val="000000"/>
                <w:sz w:val="22"/>
                <w:szCs w:val="22"/>
                <w:lang w:eastAsia="en-GB"/>
              </w:rPr>
            </w:pPr>
            <w:r w:rsidRPr="007368D7">
              <w:rPr>
                <w:rFonts w:asciiTheme="minorHAnsi" w:hAnsiTheme="minorHAnsi" w:cs="Arial"/>
                <w:color w:val="000000"/>
                <w:sz w:val="22"/>
                <w:szCs w:val="22"/>
                <w:lang w:eastAsia="en-GB"/>
              </w:rPr>
              <w:t>43</w:t>
            </w:r>
          </w:p>
        </w:tc>
        <w:tc>
          <w:tcPr>
            <w:tcW w:w="3380" w:type="pct"/>
            <w:gridSpan w:val="3"/>
            <w:tcBorders>
              <w:top w:val="nil"/>
              <w:left w:val="nil"/>
              <w:bottom w:val="single" w:sz="4" w:space="0" w:color="auto"/>
              <w:right w:val="single" w:sz="4" w:space="0" w:color="auto"/>
            </w:tcBorders>
            <w:shd w:val="clear" w:color="000000" w:fill="auto"/>
            <w:vAlign w:val="bottom"/>
            <w:hideMark/>
          </w:tcPr>
          <w:p w14:paraId="151050BF" w14:textId="2B319BA0" w:rsidR="007368D7" w:rsidRPr="007368D7" w:rsidRDefault="007368D7" w:rsidP="007368D7">
            <w:pPr>
              <w:spacing w:before="20" w:after="20"/>
              <w:jc w:val="left"/>
              <w:rPr>
                <w:rFonts w:asciiTheme="minorHAnsi" w:hAnsiTheme="minorHAnsi"/>
                <w:color w:val="000000"/>
                <w:sz w:val="22"/>
                <w:szCs w:val="22"/>
                <w:lang w:eastAsia="en-GB"/>
              </w:rPr>
            </w:pPr>
            <w:r w:rsidRPr="007368D7">
              <w:rPr>
                <w:rFonts w:asciiTheme="minorHAnsi" w:hAnsiTheme="minorHAnsi"/>
                <w:color w:val="000000"/>
                <w:sz w:val="22"/>
                <w:szCs w:val="22"/>
                <w:lang w:eastAsia="en-GB"/>
              </w:rPr>
              <w:t>Did you already have a connection with the area (e.g. family or friends living here; or you used to live here?)</w:t>
            </w:r>
          </w:p>
        </w:tc>
        <w:tc>
          <w:tcPr>
            <w:tcW w:w="1313" w:type="pct"/>
            <w:tcBorders>
              <w:top w:val="nil"/>
              <w:left w:val="nil"/>
              <w:bottom w:val="single" w:sz="4" w:space="0" w:color="auto"/>
              <w:right w:val="single" w:sz="4" w:space="0" w:color="auto"/>
            </w:tcBorders>
            <w:shd w:val="clear" w:color="000000" w:fill="auto"/>
            <w:noWrap/>
            <w:vAlign w:val="bottom"/>
            <w:hideMark/>
          </w:tcPr>
          <w:p w14:paraId="2DF660EA" w14:textId="77777777" w:rsidR="007368D7" w:rsidRPr="007368D7" w:rsidRDefault="007368D7" w:rsidP="007368D7">
            <w:pPr>
              <w:spacing w:before="20" w:after="20"/>
              <w:jc w:val="left"/>
              <w:rPr>
                <w:rFonts w:asciiTheme="minorHAnsi" w:hAnsiTheme="minorHAnsi"/>
                <w:color w:val="000000"/>
                <w:sz w:val="22"/>
                <w:szCs w:val="22"/>
                <w:lang w:eastAsia="en-GB"/>
              </w:rPr>
            </w:pPr>
            <w:r w:rsidRPr="007368D7">
              <w:rPr>
                <w:rFonts w:asciiTheme="minorHAnsi" w:hAnsiTheme="minorHAnsi"/>
                <w:color w:val="000000"/>
                <w:sz w:val="22"/>
                <w:szCs w:val="22"/>
                <w:lang w:eastAsia="en-GB"/>
              </w:rPr>
              <w:t> </w:t>
            </w:r>
          </w:p>
        </w:tc>
      </w:tr>
      <w:tr w:rsidR="007368D7" w:rsidRPr="007A0019" w14:paraId="6468F20B" w14:textId="77777777" w:rsidTr="007368D7">
        <w:tc>
          <w:tcPr>
            <w:tcW w:w="307" w:type="pct"/>
            <w:gridSpan w:val="2"/>
            <w:tcBorders>
              <w:top w:val="nil"/>
              <w:left w:val="single" w:sz="4" w:space="0" w:color="auto"/>
              <w:bottom w:val="single" w:sz="4" w:space="0" w:color="auto"/>
              <w:right w:val="single" w:sz="4" w:space="0" w:color="auto"/>
            </w:tcBorders>
            <w:shd w:val="clear" w:color="000000" w:fill="auto"/>
            <w:noWrap/>
            <w:vAlign w:val="center"/>
            <w:hideMark/>
          </w:tcPr>
          <w:p w14:paraId="4FE2FC09" w14:textId="15ABFB13" w:rsidR="007368D7" w:rsidRPr="007368D7" w:rsidRDefault="007368D7" w:rsidP="007368D7">
            <w:pPr>
              <w:spacing w:before="20" w:after="20"/>
              <w:jc w:val="left"/>
              <w:rPr>
                <w:rFonts w:asciiTheme="minorHAnsi" w:hAnsiTheme="minorHAnsi" w:cs="Arial"/>
                <w:sz w:val="22"/>
                <w:szCs w:val="22"/>
                <w:lang w:eastAsia="en-GB"/>
              </w:rPr>
            </w:pPr>
            <w:r w:rsidRPr="007368D7">
              <w:rPr>
                <w:rFonts w:asciiTheme="minorHAnsi" w:hAnsiTheme="minorHAnsi" w:cs="Arial"/>
                <w:sz w:val="22"/>
                <w:szCs w:val="22"/>
                <w:lang w:eastAsia="en-GB"/>
              </w:rPr>
              <w:t>44</w:t>
            </w:r>
          </w:p>
        </w:tc>
        <w:tc>
          <w:tcPr>
            <w:tcW w:w="3380" w:type="pct"/>
            <w:gridSpan w:val="3"/>
            <w:tcBorders>
              <w:top w:val="nil"/>
              <w:left w:val="nil"/>
              <w:bottom w:val="single" w:sz="4" w:space="0" w:color="auto"/>
              <w:right w:val="single" w:sz="4" w:space="0" w:color="auto"/>
            </w:tcBorders>
            <w:shd w:val="clear" w:color="000000" w:fill="auto"/>
            <w:vAlign w:val="bottom"/>
            <w:hideMark/>
          </w:tcPr>
          <w:p w14:paraId="51EBBBD0" w14:textId="621EE4B4" w:rsidR="007368D7" w:rsidRPr="007368D7" w:rsidRDefault="007368D7" w:rsidP="007368D7">
            <w:pPr>
              <w:spacing w:before="20" w:after="20"/>
              <w:jc w:val="left"/>
              <w:rPr>
                <w:rFonts w:asciiTheme="minorHAnsi" w:hAnsiTheme="minorHAnsi"/>
                <w:sz w:val="22"/>
                <w:szCs w:val="22"/>
                <w:lang w:eastAsia="en-GB"/>
              </w:rPr>
            </w:pPr>
            <w:r w:rsidRPr="007368D7">
              <w:rPr>
                <w:rFonts w:asciiTheme="minorHAnsi" w:hAnsiTheme="minorHAnsi"/>
                <w:sz w:val="22"/>
                <w:szCs w:val="22"/>
                <w:lang w:eastAsia="en-GB"/>
              </w:rPr>
              <w:t>Do you know anyone in bricks and mortar housing looking to live on a site? If so, can you provide contact details?</w:t>
            </w:r>
          </w:p>
        </w:tc>
        <w:tc>
          <w:tcPr>
            <w:tcW w:w="1313" w:type="pct"/>
            <w:tcBorders>
              <w:top w:val="nil"/>
              <w:left w:val="nil"/>
              <w:bottom w:val="single" w:sz="4" w:space="0" w:color="auto"/>
              <w:right w:val="single" w:sz="4" w:space="0" w:color="auto"/>
            </w:tcBorders>
            <w:shd w:val="clear" w:color="000000" w:fill="auto"/>
            <w:noWrap/>
            <w:vAlign w:val="bottom"/>
            <w:hideMark/>
          </w:tcPr>
          <w:p w14:paraId="5B90EC88" w14:textId="77777777" w:rsidR="007368D7" w:rsidRPr="007368D7" w:rsidRDefault="007368D7" w:rsidP="007368D7">
            <w:pPr>
              <w:spacing w:before="20" w:after="20"/>
              <w:jc w:val="left"/>
              <w:rPr>
                <w:rFonts w:asciiTheme="minorHAnsi" w:hAnsiTheme="minorHAnsi"/>
                <w:sz w:val="22"/>
                <w:szCs w:val="22"/>
                <w:lang w:eastAsia="en-GB"/>
              </w:rPr>
            </w:pPr>
            <w:r w:rsidRPr="007368D7">
              <w:rPr>
                <w:rFonts w:asciiTheme="minorHAnsi" w:hAnsiTheme="minorHAnsi"/>
                <w:sz w:val="22"/>
                <w:szCs w:val="22"/>
                <w:lang w:eastAsia="en-GB"/>
              </w:rPr>
              <w:t> </w:t>
            </w:r>
          </w:p>
        </w:tc>
      </w:tr>
    </w:tbl>
    <w:p w14:paraId="2C0A58F0" w14:textId="77777777" w:rsidR="007A0019" w:rsidRPr="008D510E" w:rsidRDefault="007A0019" w:rsidP="007A0019">
      <w:pPr>
        <w:tabs>
          <w:tab w:val="right" w:leader="underscore" w:pos="15309"/>
        </w:tabs>
        <w:rPr>
          <w:b/>
        </w:rPr>
      </w:pPr>
    </w:p>
    <w:p w14:paraId="73CCBDDD" w14:textId="538EC5B2" w:rsidR="001238ED" w:rsidRDefault="001238ED" w:rsidP="007525B2">
      <w:pPr>
        <w:rPr>
          <w:rFonts w:eastAsia="MS Mincho"/>
        </w:rPr>
      </w:pPr>
    </w:p>
    <w:p w14:paraId="2743206C" w14:textId="77777777" w:rsidR="001238ED" w:rsidRPr="00186BEE" w:rsidRDefault="001238ED" w:rsidP="007525B2">
      <w:pPr>
        <w:rPr>
          <w:rFonts w:eastAsia="MS Mincho"/>
        </w:rPr>
        <w:sectPr w:rsidR="001238ED" w:rsidRPr="00186BEE" w:rsidSect="00787125">
          <w:headerReference w:type="default" r:id="rId27"/>
          <w:footerReference w:type="default" r:id="rId28"/>
          <w:pgSz w:w="16838" w:h="11906" w:orient="landscape"/>
          <w:pgMar w:top="720" w:right="720" w:bottom="720" w:left="720" w:header="709" w:footer="709" w:gutter="0"/>
          <w:pgBorders w:offsetFrom="page">
            <w:top w:val="none" w:sz="0" w:space="0" w:color="000000"/>
            <w:left w:val="none" w:sz="0" w:space="0" w:color="000000"/>
            <w:bottom w:val="none" w:sz="0" w:space="0" w:color="000000"/>
            <w:right w:val="none" w:sz="0" w:space="0" w:color="000000"/>
          </w:pgBorders>
          <w:cols w:space="720"/>
        </w:sectPr>
      </w:pPr>
    </w:p>
    <w:p w14:paraId="476B3BD5" w14:textId="7346688F" w:rsidR="007525B2" w:rsidRDefault="007525B2" w:rsidP="00753DEA">
      <w:pPr>
        <w:pStyle w:val="Heading1"/>
        <w:numPr>
          <w:ilvl w:val="0"/>
          <w:numId w:val="0"/>
        </w:numPr>
        <w:ind w:left="709" w:hanging="709"/>
      </w:pPr>
      <w:bookmarkStart w:id="347" w:name="_Toc457575090"/>
      <w:bookmarkStart w:id="348" w:name="_Toc375313652"/>
      <w:bookmarkStart w:id="349" w:name="_Toc417995995"/>
      <w:bookmarkStart w:id="350" w:name="_Toc459646263"/>
      <w:bookmarkStart w:id="351" w:name="_Toc485383274"/>
      <w:bookmarkStart w:id="352" w:name="_Toc510091992"/>
      <w:bookmarkStart w:id="353" w:name="_Toc13845506"/>
      <w:bookmarkEnd w:id="345"/>
      <w:r>
        <w:t>Appendix D:</w:t>
      </w:r>
      <w:r w:rsidR="00753DEA">
        <w:t xml:space="preserve"> </w:t>
      </w:r>
      <w:r>
        <w:t xml:space="preserve"> Glossary of </w:t>
      </w:r>
      <w:bookmarkEnd w:id="347"/>
      <w:r>
        <w:t>terms</w:t>
      </w:r>
      <w:bookmarkEnd w:id="346"/>
      <w:bookmarkEnd w:id="348"/>
      <w:bookmarkEnd w:id="349"/>
      <w:bookmarkEnd w:id="350"/>
      <w:bookmarkEnd w:id="351"/>
      <w:bookmarkEnd w:id="352"/>
      <w:bookmarkEnd w:id="353"/>
      <w:r>
        <w:t xml:space="preserve"> </w:t>
      </w:r>
    </w:p>
    <w:p w14:paraId="77E339E9" w14:textId="77777777" w:rsidR="007525B2" w:rsidRDefault="007525B2" w:rsidP="007525B2">
      <w:pPr>
        <w:autoSpaceDE w:val="0"/>
        <w:autoSpaceDN w:val="0"/>
        <w:adjustRightInd w:val="0"/>
        <w:rPr>
          <w:rFonts w:cs="Arial"/>
          <w:color w:val="000000"/>
        </w:rPr>
      </w:pPr>
      <w:r>
        <w:rPr>
          <w:rFonts w:cs="Arial"/>
          <w:b/>
          <w:bCs/>
          <w:color w:val="000000"/>
        </w:rPr>
        <w:t>Caravans</w:t>
      </w:r>
      <w:r>
        <w:rPr>
          <w:rFonts w:cs="Arial"/>
          <w:color w:val="000000"/>
        </w:rPr>
        <w:t xml:space="preserve">: Mobile living vehicles used by Gypsies and Travellers; also referred to as trailers. </w:t>
      </w:r>
    </w:p>
    <w:p w14:paraId="6331902F" w14:textId="77777777" w:rsidR="007525B2" w:rsidRDefault="007525B2" w:rsidP="007525B2">
      <w:pPr>
        <w:autoSpaceDE w:val="0"/>
        <w:autoSpaceDN w:val="0"/>
        <w:adjustRightInd w:val="0"/>
        <w:rPr>
          <w:rFonts w:cs="Arial"/>
          <w:color w:val="000000"/>
        </w:rPr>
      </w:pPr>
      <w:r>
        <w:rPr>
          <w:rFonts w:cs="Arial"/>
          <w:b/>
          <w:bCs/>
          <w:color w:val="000000"/>
        </w:rPr>
        <w:t>CJ&amp;POA</w:t>
      </w:r>
      <w:r>
        <w:rPr>
          <w:rFonts w:cs="Arial"/>
          <w:color w:val="000000"/>
        </w:rPr>
        <w:t xml:space="preserve">: Criminal Justice and Public Order Act 1994; includes powers for local authorities and police to act against unauthorised encampments. </w:t>
      </w:r>
    </w:p>
    <w:p w14:paraId="7F7554AE" w14:textId="77777777" w:rsidR="007525B2" w:rsidRDefault="007525B2" w:rsidP="007525B2">
      <w:pPr>
        <w:autoSpaceDE w:val="0"/>
        <w:autoSpaceDN w:val="0"/>
        <w:adjustRightInd w:val="0"/>
        <w:rPr>
          <w:rFonts w:cs="Arial"/>
          <w:color w:val="000000"/>
        </w:rPr>
      </w:pPr>
      <w:r>
        <w:rPr>
          <w:rFonts w:cs="Arial"/>
          <w:b/>
          <w:bCs/>
          <w:color w:val="000000"/>
        </w:rPr>
        <w:t>CRE</w:t>
      </w:r>
      <w:r>
        <w:rPr>
          <w:rFonts w:cs="Arial"/>
          <w:color w:val="000000"/>
        </w:rPr>
        <w:t xml:space="preserve">: Commission for Racial Equality. </w:t>
      </w:r>
    </w:p>
    <w:p w14:paraId="533E8FD8" w14:textId="77777777" w:rsidR="007525B2" w:rsidRDefault="007525B2" w:rsidP="007525B2">
      <w:pPr>
        <w:autoSpaceDE w:val="0"/>
        <w:autoSpaceDN w:val="0"/>
        <w:adjustRightInd w:val="0"/>
        <w:rPr>
          <w:rFonts w:cs="Arial"/>
          <w:color w:val="000000"/>
        </w:rPr>
      </w:pPr>
      <w:r>
        <w:rPr>
          <w:rFonts w:cs="Arial"/>
          <w:b/>
          <w:bCs/>
          <w:color w:val="000000"/>
        </w:rPr>
        <w:t>DCLG</w:t>
      </w:r>
      <w:r>
        <w:rPr>
          <w:rFonts w:cs="Arial"/>
          <w:color w:val="000000"/>
        </w:rPr>
        <w:t xml:space="preserve">: Department for Communities and Local Government; created in May 2006. Responsible for the remit on Gypsies and Travellers, which was previously held by the Office of the Deputy Prime Minister (O.D.P.M.). </w:t>
      </w:r>
    </w:p>
    <w:p w14:paraId="22213C65" w14:textId="77777777" w:rsidR="007525B2" w:rsidRDefault="007525B2" w:rsidP="007525B2">
      <w:pPr>
        <w:autoSpaceDE w:val="0"/>
        <w:autoSpaceDN w:val="0"/>
        <w:adjustRightInd w:val="0"/>
        <w:rPr>
          <w:rFonts w:cs="Arial"/>
          <w:iCs/>
          <w:color w:val="000000"/>
          <w:lang w:eastAsia="en-GB"/>
        </w:rPr>
      </w:pPr>
      <w:r>
        <w:rPr>
          <w:rFonts w:cs="Arial"/>
          <w:b/>
          <w:bCs/>
          <w:color w:val="000000"/>
        </w:rPr>
        <w:t>Gypsies and Travellers</w:t>
      </w:r>
      <w:r>
        <w:rPr>
          <w:rFonts w:cs="Arial"/>
          <w:color w:val="000000"/>
        </w:rPr>
        <w:t xml:space="preserve">: Defined by DCLG </w:t>
      </w:r>
      <w:r w:rsidRPr="00E037DF">
        <w:rPr>
          <w:rFonts w:cs="Arial"/>
          <w:i/>
        </w:rPr>
        <w:t>Planning policy for traveller sites</w:t>
      </w:r>
      <w:r>
        <w:rPr>
          <w:rFonts w:cs="Arial"/>
        </w:rPr>
        <w:t xml:space="preserve"> (August 2015) as </w:t>
      </w:r>
      <w:r w:rsidRPr="00E037DF">
        <w:rPr>
          <w:rFonts w:cs="Arial"/>
          <w:i/>
          <w:iCs/>
          <w:color w:val="000000"/>
          <w:lang w:eastAsia="en-GB"/>
        </w:rPr>
        <w:t>“Persons of nomadic habit of life whatever their race or origin, including such persons who on grounds only of their own or their family’s or dependants’ educational or health needs or old age have ceased to travel temporarily, but excluding members of an organised group of travelling showpeople or circus people travelling together as such”</w:t>
      </w:r>
      <w:r>
        <w:rPr>
          <w:rFonts w:cs="Arial"/>
          <w:iCs/>
          <w:color w:val="000000"/>
          <w:lang w:eastAsia="en-GB"/>
        </w:rPr>
        <w:t xml:space="preserve">. The planning policy goes on to state that, </w:t>
      </w:r>
      <w:r w:rsidRPr="00E037DF">
        <w:rPr>
          <w:i/>
        </w:rPr>
        <w:t>“In determining whether persons are “gypsies and travellers” for the purposes of this planning policy, consideration should be given to the following issues amongst other relevant matters: a) whether they previously led a nomadic habit of life b) the reasons for ceasing their nomadic habit of life c) whether there is an intention of living a nomadic habit of life in the future, and if so, how soon and in what circumstances</w:t>
      </w:r>
      <w:r>
        <w:rPr>
          <w:i/>
        </w:rPr>
        <w:t>”</w:t>
      </w:r>
      <w:r>
        <w:t>.</w:t>
      </w:r>
    </w:p>
    <w:p w14:paraId="7016A9E2" w14:textId="77777777" w:rsidR="007525B2" w:rsidRDefault="007525B2" w:rsidP="007525B2">
      <w:pPr>
        <w:autoSpaceDE w:val="0"/>
        <w:autoSpaceDN w:val="0"/>
        <w:adjustRightInd w:val="0"/>
        <w:rPr>
          <w:rFonts w:cs="Arial"/>
        </w:rPr>
      </w:pPr>
      <w:r>
        <w:rPr>
          <w:rFonts w:cs="Arial"/>
          <w:b/>
          <w:bCs/>
        </w:rPr>
        <w:t>Irish Traveller</w:t>
      </w:r>
      <w:r>
        <w:rPr>
          <w:rFonts w:cs="Arial"/>
        </w:rPr>
        <w:t xml:space="preserve">: Member of one of the main groups of Gypsies and Travellers in England. Irish Travellers have a distinct indigenous origin in Ireland and have been in England since the mid nineteenth century. They have been recognised as an ethnic group since August 2000 in England and Wales (O'Leary v Allied Domecq). </w:t>
      </w:r>
    </w:p>
    <w:p w14:paraId="3F111A34" w14:textId="56000458" w:rsidR="00AF21FD" w:rsidRPr="00AF21FD" w:rsidRDefault="00AF21FD" w:rsidP="007525B2">
      <w:pPr>
        <w:autoSpaceDE w:val="0"/>
        <w:autoSpaceDN w:val="0"/>
        <w:adjustRightInd w:val="0"/>
        <w:rPr>
          <w:rFonts w:cs="Arial"/>
          <w:color w:val="000000"/>
        </w:rPr>
      </w:pPr>
      <w:r>
        <w:rPr>
          <w:rFonts w:cs="Arial"/>
          <w:b/>
          <w:bCs/>
          <w:color w:val="000000"/>
        </w:rPr>
        <w:t>MHCLG</w:t>
      </w:r>
      <w:r>
        <w:rPr>
          <w:rFonts w:cs="Arial"/>
          <w:color w:val="000000"/>
        </w:rPr>
        <w:t xml:space="preserve">: Ministry for Housing, Communities and Local Government (formerly DCLG); created in May 2006. Responsible for the remit on Gypsies and Travellers, which was previously held by the Office of the Deputy Prime Minister (O.D.P.M.). </w:t>
      </w:r>
    </w:p>
    <w:p w14:paraId="30802FF9" w14:textId="4FB71E45" w:rsidR="007525B2" w:rsidRDefault="007525B2" w:rsidP="007525B2">
      <w:pPr>
        <w:autoSpaceDE w:val="0"/>
        <w:autoSpaceDN w:val="0"/>
        <w:adjustRightInd w:val="0"/>
        <w:rPr>
          <w:rFonts w:cs="Arial"/>
        </w:rPr>
      </w:pPr>
      <w:r>
        <w:rPr>
          <w:rFonts w:cs="Arial"/>
          <w:b/>
          <w:bCs/>
        </w:rPr>
        <w:t>Mobile home</w:t>
      </w:r>
      <w:r>
        <w:rPr>
          <w:rFonts w:cs="Arial"/>
        </w:rPr>
        <w:t xml:space="preserve">: Legally a ‘caravan’ but not usually capable of being moved by towing. </w:t>
      </w:r>
    </w:p>
    <w:p w14:paraId="40BD3A73" w14:textId="77777777" w:rsidR="007525B2" w:rsidRDefault="007525B2" w:rsidP="007525B2">
      <w:pPr>
        <w:autoSpaceDE w:val="0"/>
        <w:autoSpaceDN w:val="0"/>
        <w:adjustRightInd w:val="0"/>
        <w:rPr>
          <w:rFonts w:cs="Arial"/>
        </w:rPr>
      </w:pPr>
      <w:r>
        <w:rPr>
          <w:rFonts w:cs="Arial"/>
          <w:b/>
          <w:bCs/>
        </w:rPr>
        <w:t>Pitch</w:t>
      </w:r>
      <w:r>
        <w:rPr>
          <w:rFonts w:cs="Arial"/>
        </w:rPr>
        <w:t xml:space="preserve">: Area of land on a Gypsy/Traveller site occupied by one resident family; sometimes referred to as a plot, especially when referring to Travelling Showpeople. DCLG </w:t>
      </w:r>
      <w:r>
        <w:rPr>
          <w:rFonts w:cs="Arial"/>
          <w:i/>
        </w:rPr>
        <w:t xml:space="preserve">Planning policy for traveller sites </w:t>
      </w:r>
      <w:r>
        <w:rPr>
          <w:rFonts w:cs="Arial"/>
        </w:rPr>
        <w:t xml:space="preserve">(August 2015) states that </w:t>
      </w:r>
      <w:r w:rsidRPr="000C29F0">
        <w:rPr>
          <w:rFonts w:cs="Arial"/>
          <w:i/>
        </w:rPr>
        <w:t>“</w:t>
      </w:r>
      <w:r w:rsidRPr="000C29F0">
        <w:rPr>
          <w:i/>
        </w:rPr>
        <w:t>For the purposes of this planning policy, “pitch” means a pitch on a “gypsy and traveller” site and “plot” means a pitch on a “travelling showpeople” site (often called a “yard”). This terminology differentiates between residential pitches for “gypsies and travellers” and mixed-use plots for “travelling showpeople”, which may / will need to incorporate space or to be split to allow for the storage of equipment”</w:t>
      </w:r>
      <w:r>
        <w:t>.</w:t>
      </w:r>
    </w:p>
    <w:p w14:paraId="36782332" w14:textId="77777777" w:rsidR="007525B2" w:rsidRDefault="007525B2" w:rsidP="007525B2">
      <w:pPr>
        <w:autoSpaceDE w:val="0"/>
        <w:autoSpaceDN w:val="0"/>
        <w:adjustRightInd w:val="0"/>
        <w:rPr>
          <w:rFonts w:cs="Arial"/>
        </w:rPr>
      </w:pPr>
      <w:r>
        <w:rPr>
          <w:rFonts w:cs="Arial"/>
          <w:b/>
          <w:bCs/>
        </w:rPr>
        <w:t>Plot</w:t>
      </w:r>
      <w:r>
        <w:rPr>
          <w:rFonts w:cs="Arial"/>
        </w:rPr>
        <w:t xml:space="preserve">: see pitch </w:t>
      </w:r>
    </w:p>
    <w:p w14:paraId="39EB11B4" w14:textId="77777777" w:rsidR="007525B2" w:rsidRDefault="007525B2" w:rsidP="007525B2">
      <w:pPr>
        <w:autoSpaceDE w:val="0"/>
        <w:autoSpaceDN w:val="0"/>
        <w:adjustRightInd w:val="0"/>
        <w:rPr>
          <w:rFonts w:cs="Arial"/>
        </w:rPr>
      </w:pPr>
      <w:r w:rsidRPr="002C5E60">
        <w:rPr>
          <w:rFonts w:cs="Arial"/>
          <w:b/>
        </w:rPr>
        <w:t>PPTS</w:t>
      </w:r>
      <w:r>
        <w:rPr>
          <w:rFonts w:cs="Arial"/>
        </w:rPr>
        <w:t>: Planning Policy for Traveller Sites (DCLG, 2012 and 2015 editions)</w:t>
      </w:r>
    </w:p>
    <w:p w14:paraId="0A12E662" w14:textId="77777777" w:rsidR="007525B2" w:rsidRDefault="007525B2" w:rsidP="007525B2">
      <w:pPr>
        <w:autoSpaceDE w:val="0"/>
        <w:autoSpaceDN w:val="0"/>
        <w:adjustRightInd w:val="0"/>
        <w:rPr>
          <w:rFonts w:cs="Arial"/>
        </w:rPr>
      </w:pPr>
      <w:r>
        <w:rPr>
          <w:rFonts w:cs="Arial"/>
          <w:b/>
          <w:bCs/>
        </w:rPr>
        <w:t>Roadside</w:t>
      </w:r>
      <w:r>
        <w:rPr>
          <w:rFonts w:cs="Arial"/>
        </w:rPr>
        <w:t xml:space="preserve">: Term used here to indicate families on unauthorised encampments, whether literally on the roadside or on other locations such as fields, car parks or other open spaces. </w:t>
      </w:r>
    </w:p>
    <w:p w14:paraId="121CF5BA" w14:textId="77777777" w:rsidR="007525B2" w:rsidRDefault="007525B2" w:rsidP="007525B2">
      <w:pPr>
        <w:autoSpaceDE w:val="0"/>
        <w:autoSpaceDN w:val="0"/>
        <w:adjustRightInd w:val="0"/>
        <w:rPr>
          <w:rFonts w:cs="Arial"/>
        </w:rPr>
      </w:pPr>
      <w:r>
        <w:rPr>
          <w:rFonts w:cs="Arial"/>
          <w:b/>
          <w:bCs/>
        </w:rPr>
        <w:t>Romany</w:t>
      </w:r>
      <w:r>
        <w:rPr>
          <w:rFonts w:cs="Arial"/>
        </w:rPr>
        <w:t xml:space="preserve">: Member of one of the main groups of Gypsies and Travellers in England. Romany Gypsies trace their ethnic origin back to migrations, probably from India, taking place at intervals since before 1500. Gypsies have been a recognised ethnic group for the purposes of British race relations legislation since 1988 (CRE V Dutton). </w:t>
      </w:r>
    </w:p>
    <w:p w14:paraId="7C0B95EA" w14:textId="77777777" w:rsidR="007525B2" w:rsidRDefault="007525B2" w:rsidP="007525B2">
      <w:pPr>
        <w:autoSpaceDE w:val="0"/>
        <w:autoSpaceDN w:val="0"/>
        <w:adjustRightInd w:val="0"/>
        <w:rPr>
          <w:rFonts w:cs="Arial"/>
        </w:rPr>
      </w:pPr>
      <w:r>
        <w:rPr>
          <w:rFonts w:cs="Arial"/>
          <w:b/>
          <w:bCs/>
        </w:rPr>
        <w:t>Sheds</w:t>
      </w:r>
      <w:r>
        <w:rPr>
          <w:rFonts w:cs="Arial"/>
        </w:rPr>
        <w:t xml:space="preserve">: On most residential Gypsy/Traveller sites 'shed' refers to a small basic building with plumbing amenities (bath/shower, WC, sink), which are provided at the rate of one per pitch/pitch. Some contain a cooker and basic kitchen facilities. </w:t>
      </w:r>
    </w:p>
    <w:p w14:paraId="63833ECC" w14:textId="77777777" w:rsidR="007525B2" w:rsidRDefault="007525B2" w:rsidP="007525B2">
      <w:pPr>
        <w:autoSpaceDE w:val="0"/>
        <w:autoSpaceDN w:val="0"/>
        <w:adjustRightInd w:val="0"/>
        <w:rPr>
          <w:rFonts w:cs="Arial"/>
          <w:bCs/>
        </w:rPr>
      </w:pPr>
      <w:r>
        <w:rPr>
          <w:rFonts w:cs="Arial"/>
          <w:b/>
          <w:bCs/>
        </w:rPr>
        <w:t>Showpeople</w:t>
      </w:r>
      <w:r>
        <w:rPr>
          <w:rFonts w:cs="Arial"/>
          <w:bCs/>
        </w:rPr>
        <w:t xml:space="preserve">: </w:t>
      </w:r>
      <w:r>
        <w:rPr>
          <w:rFonts w:cs="Arial"/>
          <w:color w:val="000000"/>
        </w:rPr>
        <w:t xml:space="preserve">Defined by DCLG </w:t>
      </w:r>
      <w:r w:rsidRPr="00E037DF">
        <w:rPr>
          <w:rFonts w:cs="Arial"/>
          <w:i/>
        </w:rPr>
        <w:t>Planning policy for traveller sites</w:t>
      </w:r>
      <w:r>
        <w:rPr>
          <w:rFonts w:cs="Arial"/>
        </w:rPr>
        <w:t xml:space="preserve"> (August 2015) as</w:t>
      </w:r>
      <w:r>
        <w:rPr>
          <w:rFonts w:cs="Arial"/>
          <w:lang w:eastAsia="en-GB"/>
        </w:rPr>
        <w:t xml:space="preserve"> </w:t>
      </w:r>
      <w:r w:rsidRPr="00E037DF">
        <w:rPr>
          <w:rFonts w:cs="Arial"/>
          <w:i/>
          <w:lang w:eastAsia="en-GB"/>
        </w:rPr>
        <w:t>“</w:t>
      </w:r>
      <w:r w:rsidRPr="00E037DF">
        <w:rPr>
          <w:i/>
        </w:rPr>
        <w:t>Members of a group organised for the purposes of holding fairs, circuses or shows (whether or not travelling together as such). This includes such persons who on the grounds of their own or their family’s or dependants’ more localised pattern of trading, educational or health needs or old age have ceased to travel temporarily, but excludes Gypsies and Travellers as defined above”.</w:t>
      </w:r>
    </w:p>
    <w:p w14:paraId="3D0CFDA3" w14:textId="77777777" w:rsidR="007525B2" w:rsidRDefault="007525B2" w:rsidP="007525B2">
      <w:pPr>
        <w:autoSpaceDE w:val="0"/>
        <w:autoSpaceDN w:val="0"/>
        <w:adjustRightInd w:val="0"/>
        <w:rPr>
          <w:rFonts w:cs="Arial"/>
        </w:rPr>
      </w:pPr>
      <w:r>
        <w:rPr>
          <w:rFonts w:cs="Arial"/>
          <w:b/>
          <w:bCs/>
        </w:rPr>
        <w:t>Site</w:t>
      </w:r>
      <w:r>
        <w:rPr>
          <w:rFonts w:cs="Arial"/>
        </w:rPr>
        <w:t xml:space="preserve">: An area of land laid out and used for Gypsy/Traveller caravans; often though not always comprising slabs and amenity blocks or ‘sheds’. An authorised site will have planning permission. An unauthorised development lacks planning permission. </w:t>
      </w:r>
    </w:p>
    <w:p w14:paraId="366B34C6" w14:textId="77777777" w:rsidR="007525B2" w:rsidRDefault="007525B2" w:rsidP="007525B2">
      <w:pPr>
        <w:autoSpaceDE w:val="0"/>
        <w:autoSpaceDN w:val="0"/>
        <w:adjustRightInd w:val="0"/>
        <w:rPr>
          <w:rFonts w:cs="Arial"/>
        </w:rPr>
      </w:pPr>
      <w:r>
        <w:rPr>
          <w:rFonts w:cs="Arial"/>
          <w:b/>
          <w:bCs/>
        </w:rPr>
        <w:t xml:space="preserve">Slab: </w:t>
      </w:r>
      <w:r>
        <w:rPr>
          <w:rFonts w:cs="Arial"/>
        </w:rPr>
        <w:t xml:space="preserve">An area of concrete or tarmac on sites allocated to a household for the parking of trailers (caravans) </w:t>
      </w:r>
    </w:p>
    <w:p w14:paraId="49D4729C" w14:textId="77777777" w:rsidR="007525B2" w:rsidRDefault="007525B2" w:rsidP="007525B2">
      <w:pPr>
        <w:autoSpaceDE w:val="0"/>
        <w:autoSpaceDN w:val="0"/>
        <w:adjustRightInd w:val="0"/>
        <w:rPr>
          <w:rFonts w:cs="Arial"/>
        </w:rPr>
      </w:pPr>
      <w:r>
        <w:rPr>
          <w:rFonts w:cs="Arial"/>
          <w:b/>
          <w:bCs/>
        </w:rPr>
        <w:t>Stopping places</w:t>
      </w:r>
      <w:r>
        <w:rPr>
          <w:rFonts w:cs="Arial"/>
        </w:rPr>
        <w:t xml:space="preserve">: A term used to denote an unauthorised temporary camping area tolerated by local authorities, used by Gypsies and Travellers for short-term encampments, and sometimes with the provision of temporary toilet facilities, water supplies and refuse collection services. </w:t>
      </w:r>
    </w:p>
    <w:p w14:paraId="763DACFA" w14:textId="77777777" w:rsidR="007525B2" w:rsidRDefault="007525B2" w:rsidP="007525B2">
      <w:pPr>
        <w:autoSpaceDE w:val="0"/>
        <w:autoSpaceDN w:val="0"/>
        <w:adjustRightInd w:val="0"/>
        <w:rPr>
          <w:rFonts w:cs="Arial"/>
          <w:bCs/>
        </w:rPr>
      </w:pPr>
      <w:r>
        <w:rPr>
          <w:rFonts w:cs="Arial"/>
          <w:b/>
          <w:bCs/>
        </w:rPr>
        <w:t>Tolerated site</w:t>
      </w:r>
      <w:r>
        <w:rPr>
          <w:rFonts w:cs="Arial"/>
          <w:bCs/>
        </w:rPr>
        <w:t xml:space="preserve">: An unauthorised encampment/site where a local authority has decided not to take enforcement action to seek its removal. </w:t>
      </w:r>
    </w:p>
    <w:p w14:paraId="3721D8A6" w14:textId="77777777" w:rsidR="007525B2" w:rsidRDefault="007525B2" w:rsidP="007525B2">
      <w:pPr>
        <w:autoSpaceDE w:val="0"/>
        <w:autoSpaceDN w:val="0"/>
        <w:adjustRightInd w:val="0"/>
        <w:rPr>
          <w:rFonts w:cs="Arial"/>
        </w:rPr>
      </w:pPr>
      <w:r>
        <w:rPr>
          <w:rFonts w:cs="Arial"/>
          <w:b/>
          <w:bCs/>
        </w:rPr>
        <w:t>Trailers</w:t>
      </w:r>
      <w:r>
        <w:rPr>
          <w:rFonts w:cs="Arial"/>
        </w:rPr>
        <w:t xml:space="preserve">: Term used for mobile living vehicles used by Gypsies and Travellers; also referred to as caravans. </w:t>
      </w:r>
    </w:p>
    <w:p w14:paraId="28812C73" w14:textId="77777777" w:rsidR="007525B2" w:rsidRDefault="007525B2" w:rsidP="007525B2">
      <w:pPr>
        <w:autoSpaceDE w:val="0"/>
        <w:autoSpaceDN w:val="0"/>
        <w:adjustRightInd w:val="0"/>
        <w:rPr>
          <w:rFonts w:cs="Arial"/>
        </w:rPr>
      </w:pPr>
      <w:r>
        <w:rPr>
          <w:rFonts w:cs="Arial"/>
          <w:b/>
          <w:bCs/>
        </w:rPr>
        <w:t>Transit site</w:t>
      </w:r>
      <w:r>
        <w:rPr>
          <w:rFonts w:cs="Arial"/>
        </w:rPr>
        <w:t xml:space="preserve">: A site intended for short-term use while in transit. The site is usually permanent and authorised, but there is a limit on the length of time residents can stay. </w:t>
      </w:r>
    </w:p>
    <w:p w14:paraId="7E9310F0" w14:textId="77777777" w:rsidR="007525B2" w:rsidRDefault="007525B2" w:rsidP="007525B2">
      <w:pPr>
        <w:autoSpaceDE w:val="0"/>
        <w:autoSpaceDN w:val="0"/>
        <w:adjustRightInd w:val="0"/>
        <w:rPr>
          <w:rFonts w:cs="Arial"/>
        </w:rPr>
      </w:pPr>
      <w:r>
        <w:rPr>
          <w:rFonts w:cs="Arial"/>
          <w:b/>
          <w:bCs/>
        </w:rPr>
        <w:t>Unauthorised development</w:t>
      </w:r>
      <w:r>
        <w:rPr>
          <w:rFonts w:cs="Arial"/>
        </w:rPr>
        <w:t xml:space="preserve">: Establishment of Gypsy and Traveller sites without planning permission, usually on land owned by those establishing the site. Unauthorised development may involve ground works for roadways and hard standings. People parking caravans on their own land without planning permission are not Unauthorised Encampments in that they cannot trespass on their own land – they are therefore Unauthorised Developments and enforcement is always dealt with by Local Planning Authorities enforcing planning legislation. </w:t>
      </w:r>
    </w:p>
    <w:p w14:paraId="6AFDCD3B" w14:textId="77777777" w:rsidR="007525B2" w:rsidRDefault="007525B2" w:rsidP="007525B2">
      <w:pPr>
        <w:autoSpaceDE w:val="0"/>
        <w:autoSpaceDN w:val="0"/>
        <w:adjustRightInd w:val="0"/>
        <w:rPr>
          <w:rFonts w:cs="Arial"/>
        </w:rPr>
      </w:pPr>
      <w:r>
        <w:rPr>
          <w:rFonts w:cs="Arial"/>
          <w:b/>
          <w:bCs/>
        </w:rPr>
        <w:t>Unauthorised encampment</w:t>
      </w:r>
      <w:r>
        <w:rPr>
          <w:rFonts w:cs="Arial"/>
        </w:rPr>
        <w:t xml:space="preserve">: Land where Gypsies or Travellers reside in vehicles or tents without permission. Unauthorised encampments can occur in a variety of locations (roadside, car parks, parks, fields, etc.) and constitute trespass. The 1994 Criminal Justice and Public Order Act made it a criminal offence to camp on land without the owner’s consent. Unauthorised encampments fall into two main categories: those on land owned by local authorities and those on privately owned land. It is up to the land owner to take enforcement action in conjunction with the Police. </w:t>
      </w:r>
    </w:p>
    <w:p w14:paraId="25B74EFD" w14:textId="77777777" w:rsidR="007525B2" w:rsidRDefault="007525B2" w:rsidP="007525B2">
      <w:pPr>
        <w:autoSpaceDE w:val="0"/>
        <w:autoSpaceDN w:val="0"/>
        <w:adjustRightInd w:val="0"/>
        <w:rPr>
          <w:rFonts w:cs="Arial"/>
        </w:rPr>
      </w:pPr>
      <w:r>
        <w:rPr>
          <w:rFonts w:cs="Arial"/>
          <w:b/>
          <w:bCs/>
        </w:rPr>
        <w:t>Wagons</w:t>
      </w:r>
      <w:r>
        <w:rPr>
          <w:rFonts w:cs="Arial"/>
        </w:rPr>
        <w:t xml:space="preserve">: This is the preferred term for the vehicles used for accommodation by Showpeople. </w:t>
      </w:r>
    </w:p>
    <w:p w14:paraId="204E5498" w14:textId="607BA8B8" w:rsidR="007525B2" w:rsidRPr="00AF21FD" w:rsidRDefault="007525B2" w:rsidP="00AF21FD">
      <w:pPr>
        <w:autoSpaceDE w:val="0"/>
        <w:autoSpaceDN w:val="0"/>
        <w:adjustRightInd w:val="0"/>
        <w:rPr>
          <w:rFonts w:cs="Arial"/>
        </w:rPr>
      </w:pPr>
      <w:r>
        <w:rPr>
          <w:rFonts w:cs="Arial"/>
          <w:b/>
          <w:bCs/>
        </w:rPr>
        <w:t>Yards</w:t>
      </w:r>
      <w:r>
        <w:rPr>
          <w:rFonts w:cs="Arial"/>
        </w:rPr>
        <w:t>: Showpeople travel in connection with their work and therefore live, almost universally, in wagons. During the winter months these are parked up in what was traditionally known as ‘winter quarters’. These ‘yards’ are now often occupied all year around by some family members.</w:t>
      </w:r>
      <w:bookmarkEnd w:id="5"/>
      <w:bookmarkEnd w:id="6"/>
    </w:p>
    <w:sectPr w:rsidR="007525B2" w:rsidRPr="00AF21FD" w:rsidSect="00787125">
      <w:headerReference w:type="default" r:id="rId29"/>
      <w:footerReference w:type="default" r:id="rId30"/>
      <w:footerReference w:type="first" r:id="rId31"/>
      <w:pgSz w:w="11906" w:h="16838"/>
      <w:pgMar w:top="1440" w:right="1276" w:bottom="1440" w:left="1440" w:header="709" w:footer="709" w:gutter="0"/>
      <w:pgBorders w:offsetFrom="page">
        <w:top w:val="none" w:sz="0" w:space="0" w:color="000000"/>
        <w:left w:val="none" w:sz="0" w:space="0" w:color="000000"/>
        <w:bottom w:val="none" w:sz="0" w:space="0" w:color="000000"/>
        <w:right w:val="none" w:sz="0" w:space="0" w:color="000000"/>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061B2" w14:textId="77777777" w:rsidR="005F5DE4" w:rsidRDefault="005F5DE4">
      <w:r>
        <w:separator/>
      </w:r>
    </w:p>
  </w:endnote>
  <w:endnote w:type="continuationSeparator" w:id="0">
    <w:p w14:paraId="3FBC6430" w14:textId="77777777" w:rsidR="005F5DE4" w:rsidRDefault="005F5DE4">
      <w:r>
        <w:continuationSeparator/>
      </w:r>
    </w:p>
  </w:endnote>
  <w:endnote w:type="continuationNotice" w:id="1">
    <w:p w14:paraId="275E3CDD" w14:textId="77777777" w:rsidR="005F5DE4" w:rsidRDefault="005F5D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illSans">
    <w:altName w:val="Arial"/>
    <w:charset w:val="B1"/>
    <w:family w:val="swiss"/>
    <w:pitch w:val="variable"/>
    <w:sig w:usb0="80000A67" w:usb1="00000000" w:usb2="00000000" w:usb3="00000000" w:csb0="000001F7" w:csb1="00000000"/>
  </w:font>
  <w:font w:name="GillSans Light">
    <w:altName w:val="Arial"/>
    <w:panose1 w:val="00000000000000000000"/>
    <w:charset w:val="00"/>
    <w:family w:val="swiss"/>
    <w:notTrueType/>
    <w:pitch w:val="variable"/>
    <w:sig w:usb0="80000A67" w:usb1="00000000" w:usb2="00000000" w:usb3="00000000" w:csb0="000001F7" w:csb1="00000000"/>
  </w:font>
  <w:font w:name="Verdana">
    <w:altName w:val="Verdana"/>
    <w:panose1 w:val="020B0604030504040204"/>
    <w:charset w:val="00"/>
    <w:family w:val="swiss"/>
    <w:pitch w:val="variable"/>
    <w:sig w:usb0="A10006FF" w:usb1="4000205B" w:usb2="00000010" w:usb3="00000000" w:csb0="0000019F" w:csb1="00000000"/>
  </w:font>
  <w:font w:name="Arial Bold">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ill Sans MT Pro Medium">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354E9" w14:textId="77777777" w:rsidR="00B550ED" w:rsidRDefault="00B550E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F75" w14:textId="537DA054" w:rsidR="00B550ED" w:rsidRPr="004B2321" w:rsidRDefault="00B550ED" w:rsidP="004B1CF8">
    <w:pPr>
      <w:pStyle w:val="Footer-Abra"/>
      <w:pBdr>
        <w:top w:val="single" w:sz="18" w:space="1" w:color="0D5F5D"/>
      </w:pBdr>
      <w:tabs>
        <w:tab w:val="clear" w:pos="8640"/>
        <w:tab w:val="right" w:pos="9356"/>
        <w:tab w:val="right" w:pos="14742"/>
      </w:tabs>
      <w:spacing w:before="0" w:after="0"/>
      <w:rPr>
        <w:rFonts w:ascii="Calibri" w:hAnsi="Calibri" w:cs="Calibri"/>
        <w:color w:val="0070C0"/>
        <w:sz w:val="20"/>
        <w:szCs w:val="20"/>
      </w:rPr>
    </w:pPr>
    <w:r w:rsidRPr="004B2321">
      <w:rPr>
        <w:rFonts w:ascii="Calibri" w:hAnsi="Calibri" w:cs="Calibri"/>
        <w:noProof/>
        <w:color w:val="0070C0"/>
        <w:sz w:val="20"/>
        <w:szCs w:val="20"/>
        <w:lang w:eastAsia="en-GB"/>
      </w:rPr>
      <w:drawing>
        <wp:anchor distT="0" distB="0" distL="114300" distR="114300" simplePos="0" relativeHeight="251659264" behindDoc="1" locked="0" layoutInCell="1" allowOverlap="1" wp14:anchorId="6A80908B" wp14:editId="09D164CA">
          <wp:simplePos x="0" y="0"/>
          <wp:positionH relativeFrom="column">
            <wp:posOffset>5305425</wp:posOffset>
          </wp:positionH>
          <wp:positionV relativeFrom="paragraph">
            <wp:posOffset>59055</wp:posOffset>
          </wp:positionV>
          <wp:extent cx="560705" cy="323850"/>
          <wp:effectExtent l="0" t="0" r="0" b="0"/>
          <wp:wrapNone/>
          <wp:docPr id="7" name="Picture 7" descr="C:\Users\Sandie Brand\Documents\ARC4\Logos\Various File Formats\BMP\Logo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ndie Brand\Documents\ARC4\Logos\Various File Formats\BMP\Logo smal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C1C80" w14:textId="1EC757AF" w:rsidR="00B550ED" w:rsidRPr="004B2321" w:rsidRDefault="00B550ED" w:rsidP="004B1CF8">
    <w:pPr>
      <w:pStyle w:val="Footer-Abra"/>
      <w:tabs>
        <w:tab w:val="clear" w:pos="8640"/>
        <w:tab w:val="right" w:pos="9356"/>
        <w:tab w:val="right" w:pos="14742"/>
      </w:tabs>
      <w:spacing w:before="0" w:after="0"/>
      <w:rPr>
        <w:rFonts w:ascii="Calibri" w:hAnsi="Calibri" w:cs="Calibri"/>
        <w:color w:val="009999"/>
        <w:sz w:val="18"/>
        <w:szCs w:val="20"/>
      </w:rPr>
    </w:pPr>
    <w:r>
      <w:rPr>
        <w:rFonts w:ascii="Calibri" w:hAnsi="Calibri" w:cs="Calibri"/>
        <w:color w:val="009999"/>
        <w:sz w:val="18"/>
        <w:szCs w:val="20"/>
      </w:rPr>
      <w:t>March 2019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07DE" w14:textId="77777777" w:rsidR="00B550ED" w:rsidRDefault="00B550ED" w:rsidP="009E1EC9">
    <w:pPr>
      <w:pStyle w:val="Footer"/>
      <w:tabs>
        <w:tab w:val="clear" w:pos="4153"/>
        <w:tab w:val="clear" w:pos="8306"/>
        <w:tab w:val="left" w:pos="112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94CB6" w14:textId="77777777" w:rsidR="00B550ED" w:rsidRDefault="00B550ED" w:rsidP="00743423">
    <w:pPr>
      <w:pStyle w:val="Footer-Abra"/>
      <w:pBdr>
        <w:top w:val="single" w:sz="18" w:space="1" w:color="0D5F5D"/>
      </w:pBdr>
      <w:tabs>
        <w:tab w:val="clear" w:pos="8640"/>
        <w:tab w:val="right" w:pos="9356"/>
        <w:tab w:val="right" w:pos="14742"/>
      </w:tabs>
      <w:spacing w:before="0" w:after="0"/>
      <w:rPr>
        <w:rFonts w:ascii="Arial" w:hAnsi="Arial" w:cs="Arial"/>
        <w:color w:val="0070C0"/>
        <w:sz w:val="20"/>
        <w:szCs w:val="20"/>
      </w:rPr>
    </w:pPr>
    <w:r>
      <w:rPr>
        <w:rFonts w:ascii="Arial" w:hAnsi="Arial" w:cs="Arial"/>
        <w:noProof/>
        <w:color w:val="0070C0"/>
        <w:sz w:val="20"/>
        <w:szCs w:val="20"/>
        <w:lang w:eastAsia="en-GB"/>
      </w:rPr>
      <w:drawing>
        <wp:anchor distT="0" distB="0" distL="114300" distR="114300" simplePos="0" relativeHeight="251653120" behindDoc="1" locked="0" layoutInCell="1" allowOverlap="1" wp14:anchorId="3C63D544" wp14:editId="59773244">
          <wp:simplePos x="0" y="0"/>
          <wp:positionH relativeFrom="column">
            <wp:posOffset>5362575</wp:posOffset>
          </wp:positionH>
          <wp:positionV relativeFrom="paragraph">
            <wp:posOffset>49530</wp:posOffset>
          </wp:positionV>
          <wp:extent cx="560705" cy="323850"/>
          <wp:effectExtent l="0" t="0" r="0" b="0"/>
          <wp:wrapThrough wrapText="bothSides">
            <wp:wrapPolygon edited="0">
              <wp:start x="0" y="0"/>
              <wp:lineTo x="0" y="20329"/>
              <wp:lineTo x="20548" y="20329"/>
              <wp:lineTo x="20548" y="0"/>
              <wp:lineTo x="0" y="0"/>
            </wp:wrapPolygon>
          </wp:wrapThrough>
          <wp:docPr id="21" name="Picture 21" descr="C:\Users\Sandie Brand\Documents\ARC4\Logos\Various File Formats\BMP\Logo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ndie Brand\Documents\ARC4\Logos\Various File Formats\BMP\Logo smal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40D8F3" w14:textId="725ACA76" w:rsidR="00B550ED" w:rsidRPr="00743423" w:rsidRDefault="00B550ED" w:rsidP="00743423">
    <w:pPr>
      <w:pStyle w:val="Footer-Abra"/>
      <w:tabs>
        <w:tab w:val="clear" w:pos="8640"/>
        <w:tab w:val="right" w:pos="9356"/>
        <w:tab w:val="right" w:pos="14742"/>
      </w:tabs>
      <w:spacing w:before="0" w:after="0"/>
      <w:rPr>
        <w:rFonts w:ascii="Arial" w:hAnsi="Arial" w:cs="Arial"/>
        <w:color w:val="009999"/>
        <w:sz w:val="18"/>
        <w:szCs w:val="20"/>
      </w:rPr>
    </w:pPr>
    <w:r>
      <w:rPr>
        <w:rFonts w:ascii="Arial" w:hAnsi="Arial" w:cs="Arial"/>
        <w:color w:val="009999"/>
        <w:sz w:val="18"/>
        <w:szCs w:val="20"/>
      </w:rPr>
      <w:t>April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C431" w14:textId="13F14126" w:rsidR="00B550ED" w:rsidRDefault="00B550ED" w:rsidP="008B6321">
    <w:pPr>
      <w:pStyle w:val="Footer"/>
      <w:tabs>
        <w:tab w:val="clear" w:pos="4153"/>
        <w:tab w:val="clear" w:pos="8306"/>
        <w:tab w:val="left" w:pos="14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77FC4" w14:textId="77777777" w:rsidR="00B550ED" w:rsidRDefault="00B550ED" w:rsidP="00743423">
    <w:pPr>
      <w:pStyle w:val="Footer-Abra"/>
      <w:pBdr>
        <w:top w:val="single" w:sz="18" w:space="1" w:color="0D5F5D"/>
      </w:pBdr>
      <w:tabs>
        <w:tab w:val="clear" w:pos="8640"/>
        <w:tab w:val="right" w:pos="9356"/>
        <w:tab w:val="right" w:pos="14742"/>
      </w:tabs>
      <w:spacing w:before="0" w:after="0"/>
      <w:rPr>
        <w:rFonts w:ascii="Arial" w:hAnsi="Arial" w:cs="Arial"/>
        <w:color w:val="0070C0"/>
        <w:sz w:val="20"/>
        <w:szCs w:val="20"/>
      </w:rPr>
    </w:pPr>
    <w:r>
      <w:rPr>
        <w:rFonts w:ascii="Arial" w:hAnsi="Arial" w:cs="Arial"/>
        <w:noProof/>
        <w:color w:val="0070C0"/>
        <w:sz w:val="20"/>
        <w:szCs w:val="20"/>
        <w:lang w:eastAsia="en-GB"/>
      </w:rPr>
      <w:drawing>
        <wp:anchor distT="0" distB="0" distL="114300" distR="114300" simplePos="0" relativeHeight="251658752" behindDoc="1" locked="0" layoutInCell="1" allowOverlap="1" wp14:anchorId="407ABC43" wp14:editId="4CD039DD">
          <wp:simplePos x="0" y="0"/>
          <wp:positionH relativeFrom="margin">
            <wp:align>right</wp:align>
          </wp:positionH>
          <wp:positionV relativeFrom="paragraph">
            <wp:posOffset>49530</wp:posOffset>
          </wp:positionV>
          <wp:extent cx="560705" cy="323850"/>
          <wp:effectExtent l="0" t="0" r="0" b="0"/>
          <wp:wrapNone/>
          <wp:docPr id="2" name="Picture 2" descr="C:\Users\Sandie Brand\Documents\ARC4\Logos\Various File Formats\BMP\Logo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ndie Brand\Documents\ARC4\Logos\Various File Formats\BMP\Logo smal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D5587" w14:textId="178ED290" w:rsidR="00B550ED" w:rsidRPr="00AF21FD" w:rsidRDefault="00B550ED" w:rsidP="00AF21FD">
    <w:pPr>
      <w:pStyle w:val="Footer-Abra"/>
      <w:tabs>
        <w:tab w:val="clear" w:pos="8640"/>
        <w:tab w:val="right" w:pos="9356"/>
        <w:tab w:val="right" w:pos="14742"/>
      </w:tabs>
      <w:spacing w:before="0" w:after="0"/>
      <w:rPr>
        <w:rFonts w:asciiTheme="minorHAnsi" w:hAnsiTheme="minorHAnsi" w:cstheme="minorHAnsi"/>
        <w:color w:val="009999"/>
        <w:sz w:val="18"/>
        <w:szCs w:val="20"/>
      </w:rPr>
    </w:pPr>
    <w:r>
      <w:rPr>
        <w:rFonts w:asciiTheme="minorHAnsi" w:hAnsiTheme="minorHAnsi" w:cstheme="minorHAnsi"/>
        <w:color w:val="009999"/>
        <w:sz w:val="18"/>
        <w:szCs w:val="20"/>
      </w:rPr>
      <w:t>May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CF405" w14:textId="77777777" w:rsidR="00B550ED" w:rsidRDefault="00B550ED" w:rsidP="008B6321">
    <w:pPr>
      <w:pStyle w:val="Footer"/>
      <w:tabs>
        <w:tab w:val="clear" w:pos="4153"/>
        <w:tab w:val="clear" w:pos="8306"/>
        <w:tab w:val="left" w:pos="144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A11C6" w14:textId="77777777" w:rsidR="00B550ED" w:rsidRDefault="00B550ED" w:rsidP="00743423">
    <w:pPr>
      <w:pStyle w:val="Footer-Abra"/>
      <w:pBdr>
        <w:top w:val="single" w:sz="18" w:space="1" w:color="0D5F5D"/>
      </w:pBdr>
      <w:tabs>
        <w:tab w:val="clear" w:pos="8640"/>
        <w:tab w:val="right" w:pos="9356"/>
        <w:tab w:val="right" w:pos="14742"/>
      </w:tabs>
      <w:spacing w:before="0" w:after="0"/>
      <w:rPr>
        <w:rFonts w:ascii="Arial" w:hAnsi="Arial" w:cs="Arial"/>
        <w:color w:val="0070C0"/>
        <w:sz w:val="20"/>
        <w:szCs w:val="20"/>
      </w:rPr>
    </w:pPr>
    <w:r>
      <w:rPr>
        <w:rFonts w:ascii="Arial" w:hAnsi="Arial" w:cs="Arial"/>
        <w:noProof/>
        <w:color w:val="0070C0"/>
        <w:sz w:val="20"/>
        <w:szCs w:val="20"/>
        <w:lang w:eastAsia="en-GB"/>
      </w:rPr>
      <w:drawing>
        <wp:anchor distT="0" distB="0" distL="114300" distR="114300" simplePos="0" relativeHeight="251646464" behindDoc="1" locked="0" layoutInCell="1" allowOverlap="1" wp14:anchorId="56865E7E" wp14:editId="6B48A0FC">
          <wp:simplePos x="0" y="0"/>
          <wp:positionH relativeFrom="margin">
            <wp:align>right</wp:align>
          </wp:positionH>
          <wp:positionV relativeFrom="paragraph">
            <wp:posOffset>47625</wp:posOffset>
          </wp:positionV>
          <wp:extent cx="560705" cy="323850"/>
          <wp:effectExtent l="0" t="0" r="0" b="0"/>
          <wp:wrapNone/>
          <wp:docPr id="3" name="Picture 3" descr="C:\Users\Sandie Brand\Documents\ARC4\Logos\Various File Formats\BMP\Logo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ndie Brand\Documents\ARC4\Logos\Various File Formats\BMP\Logo smal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8AB33" w14:textId="13933BC2" w:rsidR="00B550ED" w:rsidRPr="00AF21FD" w:rsidRDefault="00B550ED" w:rsidP="00AF21FD">
    <w:pPr>
      <w:pStyle w:val="Footer-Abra"/>
      <w:tabs>
        <w:tab w:val="clear" w:pos="8640"/>
        <w:tab w:val="right" w:pos="9356"/>
        <w:tab w:val="right" w:pos="14742"/>
      </w:tabs>
      <w:spacing w:before="0" w:after="0"/>
      <w:rPr>
        <w:rFonts w:asciiTheme="minorHAnsi" w:hAnsiTheme="minorHAnsi" w:cstheme="minorHAnsi"/>
        <w:color w:val="009999"/>
        <w:sz w:val="18"/>
        <w:szCs w:val="20"/>
      </w:rPr>
    </w:pPr>
    <w:r>
      <w:rPr>
        <w:rFonts w:asciiTheme="minorHAnsi" w:hAnsiTheme="minorHAnsi" w:cstheme="minorHAnsi"/>
        <w:color w:val="009999"/>
        <w:sz w:val="18"/>
        <w:szCs w:val="20"/>
      </w:rPr>
      <w:t>May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793AA" w14:textId="77777777" w:rsidR="00B550ED" w:rsidRDefault="00B550E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6E5A" w14:textId="77777777" w:rsidR="00B550ED" w:rsidRPr="004B2321" w:rsidRDefault="00B550ED" w:rsidP="00743423">
    <w:pPr>
      <w:pStyle w:val="Footer-Abra"/>
      <w:pBdr>
        <w:top w:val="single" w:sz="18" w:space="1" w:color="0D5F5D"/>
      </w:pBdr>
      <w:tabs>
        <w:tab w:val="clear" w:pos="8640"/>
        <w:tab w:val="right" w:pos="9356"/>
        <w:tab w:val="right" w:pos="14742"/>
      </w:tabs>
      <w:spacing w:before="0" w:after="0"/>
      <w:rPr>
        <w:rFonts w:asciiTheme="minorHAnsi" w:hAnsiTheme="minorHAnsi" w:cstheme="minorHAnsi"/>
        <w:color w:val="0070C0"/>
        <w:sz w:val="20"/>
        <w:szCs w:val="20"/>
      </w:rPr>
    </w:pPr>
    <w:r w:rsidRPr="004B2321">
      <w:rPr>
        <w:rFonts w:asciiTheme="minorHAnsi" w:hAnsiTheme="minorHAnsi" w:cstheme="minorHAnsi"/>
        <w:noProof/>
        <w:color w:val="0070C0"/>
        <w:sz w:val="20"/>
        <w:szCs w:val="20"/>
        <w:lang w:eastAsia="en-GB"/>
      </w:rPr>
      <w:drawing>
        <wp:anchor distT="0" distB="0" distL="114300" distR="114300" simplePos="0" relativeHeight="251675136" behindDoc="1" locked="0" layoutInCell="1" allowOverlap="1" wp14:anchorId="18DC0B1D" wp14:editId="50EEDC60">
          <wp:simplePos x="0" y="0"/>
          <wp:positionH relativeFrom="margin">
            <wp:align>right</wp:align>
          </wp:positionH>
          <wp:positionV relativeFrom="paragraph">
            <wp:posOffset>53975</wp:posOffset>
          </wp:positionV>
          <wp:extent cx="560705" cy="323850"/>
          <wp:effectExtent l="0" t="0" r="0" b="0"/>
          <wp:wrapNone/>
          <wp:docPr id="6" name="Picture 6" descr="C:\Users\Sandie Brand\Documents\ARC4\Logos\Various File Formats\BMP\Logo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ndie Brand\Documents\ARC4\Logos\Various File Formats\BMP\Logo smal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002D70" w14:textId="1D816537" w:rsidR="00B550ED" w:rsidRPr="004B2321" w:rsidRDefault="00B550ED" w:rsidP="00743423">
    <w:pPr>
      <w:pStyle w:val="Footer-Abra"/>
      <w:tabs>
        <w:tab w:val="clear" w:pos="8640"/>
        <w:tab w:val="right" w:pos="9356"/>
        <w:tab w:val="right" w:pos="14742"/>
      </w:tabs>
      <w:spacing w:before="0" w:after="0"/>
      <w:rPr>
        <w:rFonts w:asciiTheme="minorHAnsi" w:hAnsiTheme="minorHAnsi" w:cstheme="minorHAnsi"/>
        <w:color w:val="009999"/>
        <w:sz w:val="18"/>
        <w:szCs w:val="20"/>
      </w:rPr>
    </w:pPr>
    <w:r>
      <w:rPr>
        <w:rFonts w:asciiTheme="minorHAnsi" w:hAnsiTheme="minorHAnsi" w:cstheme="minorHAnsi"/>
        <w:color w:val="009999"/>
        <w:sz w:val="18"/>
        <w:szCs w:val="20"/>
      </w:rPr>
      <w:t>May 2019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9AF31" w14:textId="77777777" w:rsidR="00B550ED" w:rsidRPr="004B2321" w:rsidRDefault="00B550ED" w:rsidP="00743423">
    <w:pPr>
      <w:pStyle w:val="Footer-Abra"/>
      <w:pBdr>
        <w:top w:val="single" w:sz="18" w:space="1" w:color="0D5F5D"/>
      </w:pBdr>
      <w:tabs>
        <w:tab w:val="clear" w:pos="8640"/>
        <w:tab w:val="right" w:pos="9356"/>
        <w:tab w:val="right" w:pos="14742"/>
      </w:tabs>
      <w:spacing w:before="0" w:after="0"/>
      <w:rPr>
        <w:rFonts w:ascii="Calibri" w:hAnsi="Calibri" w:cs="Calibri"/>
        <w:color w:val="0070C0"/>
        <w:sz w:val="20"/>
        <w:szCs w:val="20"/>
      </w:rPr>
    </w:pPr>
    <w:r w:rsidRPr="004B2321">
      <w:rPr>
        <w:rFonts w:ascii="Calibri" w:hAnsi="Calibri" w:cs="Calibri"/>
        <w:noProof/>
        <w:color w:val="0070C0"/>
        <w:sz w:val="20"/>
        <w:szCs w:val="20"/>
        <w:lang w:eastAsia="en-GB"/>
      </w:rPr>
      <w:drawing>
        <wp:anchor distT="0" distB="0" distL="114300" distR="114300" simplePos="0" relativeHeight="251670016" behindDoc="1" locked="0" layoutInCell="1" allowOverlap="1" wp14:anchorId="0BD39061" wp14:editId="76893C0B">
          <wp:simplePos x="0" y="0"/>
          <wp:positionH relativeFrom="margin">
            <wp:align>right</wp:align>
          </wp:positionH>
          <wp:positionV relativeFrom="paragraph">
            <wp:posOffset>53975</wp:posOffset>
          </wp:positionV>
          <wp:extent cx="560705" cy="323850"/>
          <wp:effectExtent l="0" t="0" r="0" b="0"/>
          <wp:wrapNone/>
          <wp:docPr id="8" name="Picture 8" descr="C:\Users\Sandie Brand\Documents\ARC4\Logos\Various File Formats\BMP\Logo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ndie Brand\Documents\ARC4\Logos\Various File Formats\BMP\Logo smal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2DA25" w14:textId="3070D9B2" w:rsidR="00B550ED" w:rsidRPr="004B2321" w:rsidRDefault="00B550ED" w:rsidP="00743423">
    <w:pPr>
      <w:pStyle w:val="Footer-Abra"/>
      <w:tabs>
        <w:tab w:val="clear" w:pos="8640"/>
        <w:tab w:val="right" w:pos="9356"/>
        <w:tab w:val="right" w:pos="14742"/>
      </w:tabs>
      <w:spacing w:before="0" w:after="0"/>
      <w:rPr>
        <w:rFonts w:ascii="Calibri" w:hAnsi="Calibri" w:cs="Calibri"/>
        <w:color w:val="009999"/>
        <w:sz w:val="18"/>
        <w:szCs w:val="20"/>
      </w:rPr>
    </w:pPr>
    <w:r>
      <w:rPr>
        <w:rFonts w:ascii="Calibri" w:hAnsi="Calibri" w:cs="Calibri"/>
        <w:color w:val="009999"/>
        <w:sz w:val="18"/>
        <w:szCs w:val="20"/>
      </w:rPr>
      <w:t>May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E466B" w14:textId="77777777" w:rsidR="005F5DE4" w:rsidRDefault="005F5DE4">
      <w:bookmarkStart w:id="0" w:name="_Hlk479262604"/>
      <w:bookmarkEnd w:id="0"/>
      <w:r>
        <w:separator/>
      </w:r>
    </w:p>
  </w:footnote>
  <w:footnote w:type="continuationSeparator" w:id="0">
    <w:p w14:paraId="243A8C43" w14:textId="77777777" w:rsidR="005F5DE4" w:rsidRDefault="005F5DE4">
      <w:r>
        <w:continuationSeparator/>
      </w:r>
    </w:p>
  </w:footnote>
  <w:footnote w:type="continuationNotice" w:id="1">
    <w:p w14:paraId="736EA5F9" w14:textId="77777777" w:rsidR="005F5DE4" w:rsidRDefault="005F5DE4">
      <w:pPr>
        <w:spacing w:before="0" w:after="0"/>
      </w:pPr>
    </w:p>
  </w:footnote>
  <w:footnote w:id="2">
    <w:p w14:paraId="303BCFC1" w14:textId="77777777" w:rsidR="00B550ED" w:rsidRPr="009C7BE5" w:rsidRDefault="00B550ED" w:rsidP="007525B2">
      <w:pPr>
        <w:pStyle w:val="FootnoteText"/>
      </w:pPr>
      <w:r>
        <w:rPr>
          <w:rStyle w:val="FootnoteReference"/>
        </w:rPr>
        <w:footnoteRef/>
      </w:r>
      <w:r>
        <w:t xml:space="preserve"> DCLG </w:t>
      </w:r>
      <w:r>
        <w:rPr>
          <w:i/>
        </w:rPr>
        <w:t>Planning policy for traveller sites</w:t>
      </w:r>
      <w:r>
        <w:t xml:space="preserve"> August 2015 Annex 1, para 1</w:t>
      </w:r>
    </w:p>
  </w:footnote>
  <w:footnote w:id="3">
    <w:p w14:paraId="019DFCC7" w14:textId="77777777" w:rsidR="00B550ED" w:rsidRDefault="00B550ED" w:rsidP="007525B2">
      <w:pPr>
        <w:pStyle w:val="FootnoteText"/>
      </w:pPr>
      <w:r>
        <w:rPr>
          <w:rStyle w:val="FootnoteReference"/>
        </w:rPr>
        <w:footnoteRef/>
      </w:r>
      <w:r>
        <w:t xml:space="preserve"> </w:t>
      </w:r>
      <w:r w:rsidRPr="009C7BE5">
        <w:t xml:space="preserve">DCLG </w:t>
      </w:r>
      <w:r w:rsidRPr="009C7BE5">
        <w:rPr>
          <w:i/>
        </w:rPr>
        <w:t>Planning policy for traveller sites</w:t>
      </w:r>
      <w:r>
        <w:t xml:space="preserve"> August 2015 Annex 1, para 2</w:t>
      </w:r>
    </w:p>
  </w:footnote>
  <w:footnote w:id="4">
    <w:p w14:paraId="24F713B8" w14:textId="77777777" w:rsidR="00B550ED" w:rsidRDefault="00B550ED" w:rsidP="007525B2">
      <w:pPr>
        <w:pStyle w:val="FootnoteText"/>
      </w:pPr>
      <w:r>
        <w:rPr>
          <w:rStyle w:val="FootnoteReference"/>
        </w:rPr>
        <w:footnoteRef/>
      </w:r>
      <w:r>
        <w:t xml:space="preserve"> </w:t>
      </w:r>
      <w:r w:rsidRPr="009C7BE5">
        <w:t xml:space="preserve">DCLG </w:t>
      </w:r>
      <w:r w:rsidRPr="009C7BE5">
        <w:rPr>
          <w:i/>
        </w:rPr>
        <w:t>Planning policy for traveller sites</w:t>
      </w:r>
      <w:r>
        <w:t xml:space="preserve"> August 2015 Annex 1, para 3</w:t>
      </w:r>
    </w:p>
  </w:footnote>
  <w:footnote w:id="5">
    <w:p w14:paraId="35BC40E1" w14:textId="77777777" w:rsidR="00B550ED" w:rsidRDefault="00B550ED" w:rsidP="007525B2">
      <w:pPr>
        <w:pStyle w:val="FootnoteText"/>
      </w:pPr>
      <w:r>
        <w:rPr>
          <w:rStyle w:val="FootnoteReference"/>
        </w:rPr>
        <w:footnoteRef/>
      </w:r>
      <w:r>
        <w:t xml:space="preserve"> </w:t>
      </w:r>
      <w:r w:rsidRPr="009C7BE5">
        <w:t xml:space="preserve">DCLG </w:t>
      </w:r>
      <w:r w:rsidRPr="009C7BE5">
        <w:rPr>
          <w:i/>
        </w:rPr>
        <w:t>Planning policy for traveller sites</w:t>
      </w:r>
      <w:r>
        <w:t xml:space="preserve"> August 2015 Annex 1, para 5</w:t>
      </w:r>
    </w:p>
  </w:footnote>
  <w:footnote w:id="6">
    <w:p w14:paraId="1211BE36" w14:textId="77777777" w:rsidR="00B550ED" w:rsidRDefault="00B550ED" w:rsidP="007525B2">
      <w:pPr>
        <w:pStyle w:val="FootnoteText"/>
      </w:pPr>
      <w:r>
        <w:rPr>
          <w:rStyle w:val="FootnoteReference"/>
        </w:rPr>
        <w:footnoteRef/>
      </w:r>
      <w:r>
        <w:t xml:space="preserve"> DCLG National Planning Policy Framework March 2012</w:t>
      </w:r>
    </w:p>
  </w:footnote>
  <w:footnote w:id="7">
    <w:p w14:paraId="4DBADDE8" w14:textId="77777777" w:rsidR="00B550ED" w:rsidRDefault="00B550ED" w:rsidP="007525B2">
      <w:pPr>
        <w:pStyle w:val="FootnoteText"/>
      </w:pPr>
      <w:r>
        <w:rPr>
          <w:rStyle w:val="FootnoteReference"/>
        </w:rPr>
        <w:footnoteRef/>
      </w:r>
      <w:r>
        <w:t xml:space="preserve"> DCLG </w:t>
      </w:r>
      <w:r w:rsidRPr="00896628">
        <w:rPr>
          <w:i/>
        </w:rPr>
        <w:t>Planning policy for traveller sites</w:t>
      </w:r>
      <w:r>
        <w:t xml:space="preserve"> March 2012 (now superseded)</w:t>
      </w:r>
    </w:p>
  </w:footnote>
  <w:footnote w:id="8">
    <w:p w14:paraId="43E912A3" w14:textId="28C24832" w:rsidR="00B550ED" w:rsidRDefault="00B550ED">
      <w:pPr>
        <w:pStyle w:val="FootnoteText"/>
      </w:pPr>
      <w:r>
        <w:rPr>
          <w:rStyle w:val="FootnoteReference"/>
        </w:rPr>
        <w:footnoteRef/>
      </w:r>
      <w:r>
        <w:t xml:space="preserve"> </w:t>
      </w:r>
      <w:r w:rsidRPr="005735F9">
        <w:t>https://www.parliament.uk/business/publications/written-questions-answers-statements/written-statement/Lords/2015-07-22/HLWS167/</w:t>
      </w:r>
    </w:p>
  </w:footnote>
  <w:footnote w:id="9">
    <w:p w14:paraId="6F6A2697" w14:textId="77777777" w:rsidR="00B550ED" w:rsidRDefault="00B550ED" w:rsidP="00B30E85">
      <w:pPr>
        <w:pStyle w:val="FootnoteText"/>
      </w:pPr>
      <w:r>
        <w:rPr>
          <w:rStyle w:val="FootnoteReference"/>
        </w:rPr>
        <w:footnoteRef/>
      </w:r>
      <w:r>
        <w:t xml:space="preserve"> DCLG </w:t>
      </w:r>
      <w:r w:rsidRPr="00896628">
        <w:rPr>
          <w:i/>
        </w:rPr>
        <w:t>Planning policy for traveller sites</w:t>
      </w:r>
      <w:r>
        <w:t xml:space="preserve"> August 2015</w:t>
      </w:r>
    </w:p>
  </w:footnote>
  <w:footnote w:id="10">
    <w:p w14:paraId="4D7BD358" w14:textId="77777777" w:rsidR="00B550ED" w:rsidRDefault="00B550ED" w:rsidP="00892B49">
      <w:pPr>
        <w:pStyle w:val="FootnoteText"/>
      </w:pPr>
      <w:r>
        <w:rPr>
          <w:rStyle w:val="FootnoteReference"/>
        </w:rPr>
        <w:footnoteRef/>
      </w:r>
      <w:r>
        <w:t xml:space="preserve"> </w:t>
      </w:r>
      <w:r w:rsidRPr="009C7BE5">
        <w:t xml:space="preserve">DCLG </w:t>
      </w:r>
      <w:r w:rsidRPr="009C7BE5">
        <w:rPr>
          <w:i/>
        </w:rPr>
        <w:t>Planning policy for traveller sites</w:t>
      </w:r>
      <w:r>
        <w:t xml:space="preserve"> August 2015 Annex 1, para 2</w:t>
      </w:r>
    </w:p>
  </w:footnote>
  <w:footnote w:id="11">
    <w:p w14:paraId="631E6838" w14:textId="77777777" w:rsidR="00B550ED" w:rsidRDefault="00B550ED" w:rsidP="00D975E3">
      <w:pPr>
        <w:pStyle w:val="FootnoteText"/>
      </w:pPr>
      <w:r>
        <w:rPr>
          <w:rStyle w:val="FootnoteReference"/>
        </w:rPr>
        <w:footnoteRef/>
      </w:r>
      <w:hyperlink r:id="rId1" w:history="1">
        <w:r w:rsidRPr="00B434C7">
          <w:rPr>
            <w:rStyle w:val="Hyperlink"/>
          </w:rPr>
          <w:t>https://www.gov.uk/government/uploads/system/uploads/attachment_data/file/457632/Final_Chief_Planning_Officer_letter_and_written_statement.pdf</w:t>
        </w:r>
      </w:hyperlink>
    </w:p>
  </w:footnote>
  <w:footnote w:id="12">
    <w:p w14:paraId="7277ADC3" w14:textId="77777777" w:rsidR="00B550ED" w:rsidRDefault="00B550ED" w:rsidP="00B30E85">
      <w:pPr>
        <w:pStyle w:val="FootnoteText"/>
      </w:pPr>
      <w:r>
        <w:rPr>
          <w:rStyle w:val="FootnoteReference"/>
        </w:rPr>
        <w:footnoteRef/>
      </w:r>
      <w:hyperlink r:id="rId2" w:history="1">
        <w:r w:rsidRPr="00B434C7">
          <w:rPr>
            <w:rStyle w:val="Hyperlink"/>
          </w:rPr>
          <w:t>http://www.parliament.uk/business/publications/written-questions-answers-statements/written-statement/Commons/2015-12-17/HCWS423/</w:t>
        </w:r>
      </w:hyperlink>
    </w:p>
  </w:footnote>
  <w:footnote w:id="13">
    <w:p w14:paraId="31EE4C33" w14:textId="77777777" w:rsidR="00B550ED" w:rsidRDefault="00B550ED" w:rsidP="00B30E85">
      <w:pPr>
        <w:pStyle w:val="FootnoteText"/>
      </w:pPr>
      <w:r>
        <w:rPr>
          <w:rStyle w:val="FootnoteReference"/>
        </w:rPr>
        <w:footnoteRef/>
      </w:r>
      <w:hyperlink r:id="rId3" w:history="1">
        <w:r w:rsidRPr="00B434C7">
          <w:rPr>
            <w:rStyle w:val="Hyperlink"/>
          </w:rPr>
          <w:t>https://www.gov.uk/government/uploads/system/uploads/attachment_data/file/457632/Final_Chief_Planning_Officer_letter_and_written_statement.pdf</w:t>
        </w:r>
      </w:hyperlink>
    </w:p>
  </w:footnote>
  <w:footnote w:id="14">
    <w:p w14:paraId="1DEE0491" w14:textId="77777777" w:rsidR="00B550ED" w:rsidRDefault="00B550ED" w:rsidP="00B30E85">
      <w:pPr>
        <w:pStyle w:val="FootnoteText"/>
      </w:pPr>
      <w:r>
        <w:rPr>
          <w:rStyle w:val="FootnoteReference"/>
        </w:rPr>
        <w:footnoteRef/>
      </w:r>
      <w:hyperlink r:id="rId4" w:history="1">
        <w:r w:rsidRPr="00B434C7">
          <w:rPr>
            <w:rStyle w:val="Hyperlink"/>
          </w:rPr>
          <w:t>http://www.parliament.uk/business/publications/written-questions-answers-statements/written-statement/Commons/2015-12-17/HCWS423/</w:t>
        </w:r>
      </w:hyperlink>
    </w:p>
    <w:p w14:paraId="4F31DF74" w14:textId="77777777" w:rsidR="00B550ED" w:rsidRDefault="00B550ED" w:rsidP="00B30E85">
      <w:pPr>
        <w:pStyle w:val="FootnoteText"/>
      </w:pPr>
    </w:p>
  </w:footnote>
  <w:footnote w:id="15">
    <w:p w14:paraId="4A388171" w14:textId="0E478FFA" w:rsidR="00B550ED" w:rsidRDefault="00B550ED">
      <w:pPr>
        <w:pStyle w:val="FootnoteText"/>
      </w:pPr>
      <w:r>
        <w:rPr>
          <w:rStyle w:val="FootnoteReference"/>
        </w:rPr>
        <w:footnoteRef/>
      </w:r>
      <w:r>
        <w:t xml:space="preserve"> DCLG Planning policy for traveller sites (PPTS), August 2015 and planning policy statement of 31</w:t>
      </w:r>
      <w:r w:rsidRPr="00757519">
        <w:rPr>
          <w:vertAlign w:val="superscript"/>
        </w:rPr>
        <w:t>st</w:t>
      </w:r>
      <w:r>
        <w:t xml:space="preserve"> August 2015, as reviewed in Chapter 2.</w:t>
      </w:r>
    </w:p>
  </w:footnote>
  <w:footnote w:id="16">
    <w:p w14:paraId="4E0C548A" w14:textId="27CD6926" w:rsidR="00B550ED" w:rsidRDefault="00B550ED" w:rsidP="00757519">
      <w:pPr>
        <w:pStyle w:val="FootnoteText"/>
        <w:jc w:val="left"/>
      </w:pPr>
      <w:r>
        <w:rPr>
          <w:rStyle w:val="FootnoteReference"/>
        </w:rPr>
        <w:footnoteRef/>
      </w:r>
      <w:r>
        <w:t xml:space="preserve"> DCLG Gypsy and Traveller Accommodation Needs Assessments Guidance, October 2007, cancelled in December 2016, but providing a standard and approved approach, as reviewed in Chapter 2.</w:t>
      </w:r>
    </w:p>
  </w:footnote>
  <w:footnote w:id="17">
    <w:p w14:paraId="35951B95" w14:textId="77777777" w:rsidR="00B550ED" w:rsidRDefault="00B550ED" w:rsidP="007525B2">
      <w:pPr>
        <w:pStyle w:val="FootnoteText"/>
      </w:pPr>
      <w:r>
        <w:rPr>
          <w:rStyle w:val="FootnoteReference"/>
        </w:rPr>
        <w:footnoteRef/>
      </w:r>
      <w:r>
        <w:t xml:space="preserve"> </w:t>
      </w:r>
      <w:r>
        <w:rPr>
          <w:rFonts w:cs="Arial"/>
        </w:rPr>
        <w:t>Tables 5.1a to 5.1e are taken from the Census 2011. Special tables were commissioned by ONS to cover the ethnicity and several data sets were produced and made available on the ONS website on the 21</w:t>
      </w:r>
      <w:r>
        <w:rPr>
          <w:rFonts w:cs="Arial"/>
          <w:vertAlign w:val="superscript"/>
        </w:rPr>
        <w:t>st</w:t>
      </w:r>
      <w:r>
        <w:rPr>
          <w:rFonts w:cs="Arial"/>
        </w:rPr>
        <w:t xml:space="preserve"> January 2014. See Tables CT0127 and CT0128. Main article: </w:t>
      </w:r>
      <w:hyperlink r:id="rId5" w:history="1">
        <w:r>
          <w:rPr>
            <w:rStyle w:val="Hyperlink"/>
          </w:rPr>
          <w:t>http://www.ons.gov.uk/ons/rel/census/2011-census-analysis/what-does-the-2011-census-tell-us-about-the-characteristics-of-gypsy-or-irish-travellers-in-england-and-wales-/index.html</w:t>
        </w:r>
      </w:hyperlink>
    </w:p>
  </w:footnote>
  <w:footnote w:id="18">
    <w:p w14:paraId="46615182" w14:textId="77777777" w:rsidR="00B550ED" w:rsidRPr="00557058" w:rsidRDefault="00B550ED" w:rsidP="00C45B45">
      <w:pPr>
        <w:pStyle w:val="FootnoteText"/>
      </w:pPr>
      <w:r>
        <w:rPr>
          <w:rStyle w:val="FootnoteReference"/>
        </w:rPr>
        <w:footnoteRef/>
      </w:r>
      <w:r>
        <w:t xml:space="preserve"> Historically caravan counts have not included Travelling Showpeople. Since 2010 </w:t>
      </w:r>
      <w:r w:rsidRPr="00557058">
        <w:t xml:space="preserve">the Government has requested that January counts include Travelling Showpeople, however, the figures relating to Travelling Showpeople are reported separately and not included in the overall count figures.   </w:t>
      </w:r>
    </w:p>
  </w:footnote>
  <w:footnote w:id="19">
    <w:p w14:paraId="0D8A496A" w14:textId="327986CE" w:rsidR="00B550ED" w:rsidRDefault="00B550ED" w:rsidP="0025040A">
      <w:pPr>
        <w:pStyle w:val="FootnoteText"/>
      </w:pPr>
      <w:r w:rsidRPr="00557058">
        <w:rPr>
          <w:rStyle w:val="FootnoteReference"/>
        </w:rPr>
        <w:footnoteRef/>
      </w:r>
      <w:r w:rsidRPr="00557058">
        <w:t xml:space="preserve"> MHCLG Count of Traveller Caravans January 2018 England, Housing Statistical Release June 2018</w:t>
      </w:r>
      <w:r>
        <w:t xml:space="preserve"> </w:t>
      </w:r>
    </w:p>
  </w:footnote>
  <w:footnote w:id="20">
    <w:p w14:paraId="5A7613B9" w14:textId="59E95845" w:rsidR="00B550ED" w:rsidRDefault="00B550ED" w:rsidP="00B96083">
      <w:pPr>
        <w:pStyle w:val="FootnoteText"/>
      </w:pPr>
      <w:r>
        <w:rPr>
          <w:rStyle w:val="FootnoteReference"/>
        </w:rPr>
        <w:footnoteRef/>
      </w:r>
      <w:r>
        <w:t xml:space="preserve"> </w:t>
      </w:r>
      <w:r w:rsidRPr="00557058">
        <w:t>MHCLG Count of Traveller Caravans January 2018 England, Housing Statistical Release June 2018</w:t>
      </w:r>
    </w:p>
  </w:footnote>
  <w:footnote w:id="21">
    <w:p w14:paraId="7EDF88BA" w14:textId="77777777" w:rsidR="00B550ED" w:rsidRDefault="00B550ED" w:rsidP="00B96083">
      <w:pPr>
        <w:pStyle w:val="FootnoteText"/>
      </w:pPr>
      <w:r>
        <w:rPr>
          <w:rStyle w:val="FootnoteReference"/>
        </w:rPr>
        <w:footnoteRef/>
      </w:r>
      <w:r>
        <w:t xml:space="preserve"> DCLG Count of Traveller Caravans July 2017 England, Housing Statistical Release 17 November 2017, Live Table 2</w:t>
      </w:r>
    </w:p>
  </w:footnote>
  <w:footnote w:id="22">
    <w:p w14:paraId="1B01BB6D" w14:textId="77777777" w:rsidR="00B550ED" w:rsidRDefault="00B550ED" w:rsidP="007525B2">
      <w:pPr>
        <w:pStyle w:val="FootnoteText"/>
      </w:pPr>
      <w:r>
        <w:rPr>
          <w:rStyle w:val="FootnoteReference"/>
        </w:rPr>
        <w:footnoteRef/>
      </w:r>
      <w:r>
        <w:t xml:space="preserve"> Approximately three months or longer</w:t>
      </w:r>
    </w:p>
  </w:footnote>
  <w:footnote w:id="23">
    <w:p w14:paraId="2C800F74" w14:textId="77777777" w:rsidR="00B550ED" w:rsidRDefault="00B550ED" w:rsidP="007525B2">
      <w:pPr>
        <w:pStyle w:val="FootnoteText"/>
      </w:pPr>
      <w:r>
        <w:rPr>
          <w:rStyle w:val="FootnoteReference"/>
        </w:rPr>
        <w:footnoteRef/>
      </w:r>
      <w:r>
        <w:t xml:space="preserve"> Please note that unauthorised encampments also encompass short-term illegal encampments, which are more indicative of transit need, see para 7.10 for more information on these encampments.  </w:t>
      </w:r>
    </w:p>
  </w:footnote>
  <w:footnote w:id="24">
    <w:p w14:paraId="5DBFA558" w14:textId="2D97F420" w:rsidR="00B550ED" w:rsidRPr="00747925" w:rsidRDefault="00B550ED">
      <w:pPr>
        <w:pStyle w:val="FootnoteText"/>
        <w:rPr>
          <w:lang w:val="en-US"/>
        </w:rPr>
      </w:pPr>
      <w:r>
        <w:rPr>
          <w:rStyle w:val="FootnoteReference"/>
        </w:rPr>
        <w:footnoteRef/>
      </w:r>
      <w:r>
        <w:t xml:space="preserve"> Information obtained for 25 households out of 36 = 36/25 = 1.44</w:t>
      </w:r>
    </w:p>
  </w:footnote>
  <w:footnote w:id="25">
    <w:p w14:paraId="53877283" w14:textId="6769A457" w:rsidR="00B550ED" w:rsidRPr="00200C4F" w:rsidRDefault="00B550ED" w:rsidP="003E42B1">
      <w:pPr>
        <w:pStyle w:val="FootnoteText"/>
        <w:rPr>
          <w:lang w:val="en-US"/>
        </w:rPr>
      </w:pPr>
      <w:r>
        <w:rPr>
          <w:rStyle w:val="FootnoteReference"/>
        </w:rPr>
        <w:footnoteRef/>
      </w:r>
      <w:r>
        <w:t xml:space="preserve"> </w:t>
      </w:r>
      <w:r>
        <w:rPr>
          <w:lang w:val="en-US"/>
        </w:rPr>
        <w:t xml:space="preserve">This approach has been tested at inquiry including </w:t>
      </w:r>
      <w:r w:rsidRPr="0038273E">
        <w:rPr>
          <w:u w:val="single"/>
          <w:lang w:val="en-US"/>
        </w:rPr>
        <w:t>Worcestershire</w:t>
      </w:r>
      <w:r>
        <w:rPr>
          <w:lang w:val="en-US"/>
        </w:rPr>
        <w:t xml:space="preserve"> (South Worcestershire Development Plan Examination: Inspector’s interim findings on the need for and supply of permanent pitches for Gypsies and Travellers in the five years 2014/15 to 2018/19 as calculated in the Worcestershire Gypsy and Traveller Accommodation Assessment (Nov 14) July 2015; and </w:t>
      </w:r>
      <w:r w:rsidRPr="0038273E">
        <w:rPr>
          <w:u w:val="single"/>
          <w:lang w:val="en-US"/>
        </w:rPr>
        <w:t>Shropshire</w:t>
      </w:r>
      <w:r>
        <w:rPr>
          <w:lang w:val="en-US"/>
        </w:rPr>
        <w:t xml:space="preserve"> (Shropshire Council Site Allocations and Management of Development Local Plan Inspector’s Report October 2015)</w:t>
      </w:r>
      <w:r w:rsidRPr="0038273E">
        <w:rPr>
          <w:lang w:val="en-US"/>
        </w:rPr>
        <w:t xml:space="preserve"> </w:t>
      </w:r>
      <w:r>
        <w:rPr>
          <w:lang w:val="en-US"/>
        </w:rPr>
        <w:t>; and the assumption has been corroborated by several Traveller interviewees</w:t>
      </w:r>
    </w:p>
  </w:footnote>
  <w:footnote w:id="26">
    <w:p w14:paraId="5983F656" w14:textId="77777777" w:rsidR="00B550ED" w:rsidRDefault="00B550ED" w:rsidP="007525B2">
      <w:pPr>
        <w:pStyle w:val="FootnoteText"/>
      </w:pPr>
      <w:r>
        <w:rPr>
          <w:rStyle w:val="FootnoteReference"/>
        </w:rPr>
        <w:footnoteRef/>
      </w:r>
      <w:r>
        <w:t xml:space="preserve"> I&amp;DeA (now Local Government Agency) local leadership academy providing Gypsy and Traveller sites </w:t>
      </w:r>
    </w:p>
  </w:footnote>
  <w:footnote w:id="27">
    <w:p w14:paraId="368E1D68" w14:textId="77777777" w:rsidR="00B550ED" w:rsidRDefault="00B550ED" w:rsidP="007525B2">
      <w:pPr>
        <w:pStyle w:val="FootnoteText"/>
      </w:pPr>
      <w:r>
        <w:rPr>
          <w:rStyle w:val="FootnoteReference"/>
        </w:rPr>
        <w:footnoteRef/>
      </w:r>
      <w:r>
        <w:t xml:space="preserve"> PAS spaces and places for gypsies and travellers how planning can help</w:t>
      </w:r>
    </w:p>
  </w:footnote>
  <w:footnote w:id="28">
    <w:p w14:paraId="050AE24C" w14:textId="77777777" w:rsidR="00B550ED" w:rsidRDefault="00B550ED" w:rsidP="007525B2">
      <w:pPr>
        <w:pStyle w:val="FootnoteText"/>
      </w:pPr>
      <w:r>
        <w:rPr>
          <w:rStyle w:val="FootnoteReference"/>
        </w:rPr>
        <w:footnoteRef/>
      </w:r>
      <w:r>
        <w:t xml:space="preserve"> DCLG A plain English guide to the Localism Act Nov 2011</w:t>
      </w:r>
    </w:p>
  </w:footnote>
  <w:footnote w:id="29">
    <w:p w14:paraId="0D9823FA" w14:textId="77777777" w:rsidR="00B550ED" w:rsidRDefault="00B550ED" w:rsidP="007525B2">
      <w:pPr>
        <w:pStyle w:val="FootnoteText"/>
      </w:pPr>
      <w:r>
        <w:rPr>
          <w:rStyle w:val="FootnoteReference"/>
        </w:rPr>
        <w:footnoteRef/>
      </w:r>
      <w:r>
        <w:t xml:space="preserve"> PAS S</w:t>
      </w:r>
      <w:r>
        <w:rPr>
          <w:i/>
        </w:rPr>
        <w:t xml:space="preserve">paces and places for gypsies and travellers how planning can help, </w:t>
      </w:r>
      <w:r w:rsidRPr="0045332D">
        <w:t>page 8</w:t>
      </w:r>
    </w:p>
  </w:footnote>
  <w:footnote w:id="30">
    <w:p w14:paraId="20A8E14C" w14:textId="77777777" w:rsidR="00B550ED" w:rsidRDefault="00B550ED" w:rsidP="007525B2">
      <w:pPr>
        <w:pStyle w:val="FootnoteText"/>
      </w:pPr>
      <w:r>
        <w:rPr>
          <w:rStyle w:val="FootnoteReference"/>
        </w:rPr>
        <w:footnoteRef/>
      </w:r>
      <w:r>
        <w:t xml:space="preserve"> PAS </w:t>
      </w:r>
      <w:r>
        <w:rPr>
          <w:i/>
        </w:rPr>
        <w:t>spaces and places for gypsies and travellers how planning can help page 8 &amp; 14</w:t>
      </w:r>
    </w:p>
  </w:footnote>
  <w:footnote w:id="31">
    <w:p w14:paraId="09D7F249" w14:textId="77777777" w:rsidR="00B550ED" w:rsidRDefault="00B550ED" w:rsidP="007525B2">
      <w:pPr>
        <w:pStyle w:val="FootnoteText"/>
      </w:pPr>
      <w:r>
        <w:rPr>
          <w:rStyle w:val="FootnoteReference"/>
        </w:rPr>
        <w:footnoteRef/>
      </w:r>
      <w:r>
        <w:t xml:space="preserve"> PAS </w:t>
      </w:r>
      <w:r>
        <w:rPr>
          <w:i/>
        </w:rPr>
        <w:t>spaces and places for gypsies and travellers how planning can help page 10</w:t>
      </w:r>
    </w:p>
  </w:footnote>
  <w:footnote w:id="32">
    <w:p w14:paraId="3C768D8C" w14:textId="77777777" w:rsidR="00B550ED" w:rsidRDefault="00B550ED" w:rsidP="007525B2">
      <w:pPr>
        <w:pStyle w:val="FootnoteText"/>
      </w:pPr>
      <w:r>
        <w:rPr>
          <w:rStyle w:val="FootnoteReference"/>
        </w:rPr>
        <w:footnoteRef/>
      </w:r>
      <w:r>
        <w:t xml:space="preserve"> RTPI Planning for Gypsies and Travellers Good Practice Note 4 Part A page 8</w:t>
      </w:r>
    </w:p>
  </w:footnote>
  <w:footnote w:id="33">
    <w:p w14:paraId="2B210216" w14:textId="77777777" w:rsidR="00B550ED" w:rsidRDefault="00B550ED" w:rsidP="007525B2">
      <w:pPr>
        <w:pStyle w:val="FootnoteText"/>
      </w:pPr>
      <w:r>
        <w:rPr>
          <w:rStyle w:val="FootnoteReference"/>
        </w:rPr>
        <w:footnoteRef/>
      </w:r>
      <w:r>
        <w:t xml:space="preserve"> RTPI Planning for Gypsies and Travellers Good Practice Note 4 Part A page 13</w:t>
      </w:r>
    </w:p>
  </w:footnote>
  <w:footnote w:id="34">
    <w:p w14:paraId="2C59D1BF" w14:textId="77777777" w:rsidR="00B550ED" w:rsidRDefault="00B550ED" w:rsidP="007525B2">
      <w:pPr>
        <w:pStyle w:val="FootnoteText"/>
      </w:pPr>
      <w:r>
        <w:rPr>
          <w:rStyle w:val="FootnoteReference"/>
        </w:rPr>
        <w:footnoteRef/>
      </w:r>
      <w:r>
        <w:t xml:space="preserve"> RTPI Planning for Gypsies and Travellers Good Practice Note 4 Part A page 18</w:t>
      </w:r>
    </w:p>
  </w:footnote>
  <w:footnote w:id="35">
    <w:p w14:paraId="0CD0585E" w14:textId="77777777" w:rsidR="00B550ED" w:rsidRDefault="00B550ED" w:rsidP="007525B2">
      <w:pPr>
        <w:pStyle w:val="FootnoteText"/>
      </w:pPr>
      <w:r>
        <w:rPr>
          <w:rStyle w:val="FootnoteReference"/>
        </w:rPr>
        <w:footnoteRef/>
      </w:r>
      <w:r>
        <w:t xml:space="preserve"> RTPI Planning for Gypsies and Travellers Good Practice Note 4 Part C page 11</w:t>
      </w:r>
    </w:p>
  </w:footnote>
  <w:footnote w:id="36">
    <w:p w14:paraId="2FDAC8AB" w14:textId="77777777" w:rsidR="00B550ED" w:rsidRDefault="00B550ED" w:rsidP="007525B2">
      <w:pPr>
        <w:pStyle w:val="FootnoteText"/>
      </w:pPr>
      <w:r>
        <w:rPr>
          <w:rStyle w:val="FootnoteReference"/>
        </w:rPr>
        <w:footnoteRef/>
      </w:r>
      <w:r>
        <w:t xml:space="preserve"> RTPI Planning for Gypsies and Travellers Good Practice Note 4 Part C page 11</w:t>
      </w:r>
    </w:p>
  </w:footnote>
  <w:footnote w:id="37">
    <w:p w14:paraId="77511CA3" w14:textId="77777777" w:rsidR="00B550ED" w:rsidRDefault="00B550ED" w:rsidP="007525B2">
      <w:pPr>
        <w:pStyle w:val="FootnoteText"/>
      </w:pPr>
      <w:r>
        <w:rPr>
          <w:rStyle w:val="FootnoteReference"/>
        </w:rPr>
        <w:footnoteRef/>
      </w:r>
      <w:r>
        <w:t xml:space="preserve"> </w:t>
      </w:r>
      <w:hyperlink r:id="rId6" w:history="1">
        <w:r>
          <w:rPr>
            <w:rStyle w:val="Hyperlink"/>
          </w:rPr>
          <w:t>www.communities.gov.uk/news/corporate/2124322</w:t>
        </w:r>
      </w:hyperlink>
    </w:p>
  </w:footnote>
  <w:footnote w:id="38">
    <w:p w14:paraId="7DC49538" w14:textId="77777777" w:rsidR="00B550ED" w:rsidRDefault="00B550ED" w:rsidP="007525B2">
      <w:pPr>
        <w:pStyle w:val="FootnoteText"/>
      </w:pPr>
      <w:r>
        <w:rPr>
          <w:rStyle w:val="FootnoteReference"/>
        </w:rPr>
        <w:footnoteRef/>
      </w:r>
      <w:r>
        <w:t xml:space="preserve"> </w:t>
      </w:r>
      <w:hyperlink r:id="rId7" w:history="1">
        <w:r>
          <w:rPr>
            <w:rStyle w:val="Hyperlink"/>
          </w:rPr>
          <w:t>https://www.gov.uk/government/speeches/planning-and-travellers</w:t>
        </w:r>
      </w:hyperlink>
    </w:p>
  </w:footnote>
  <w:footnote w:id="39">
    <w:p w14:paraId="799D76DB" w14:textId="77777777" w:rsidR="00B550ED" w:rsidRDefault="00B550ED" w:rsidP="007525B2">
      <w:pPr>
        <w:pStyle w:val="FootnoteText"/>
      </w:pPr>
      <w:r>
        <w:rPr>
          <w:rStyle w:val="FootnoteReference"/>
        </w:rPr>
        <w:footnoteRef/>
      </w:r>
      <w:r>
        <w:t xml:space="preserve"> ODPM Diversity and Equality in Planning: A good practice guide 2005</w:t>
      </w:r>
    </w:p>
  </w:footnote>
  <w:footnote w:id="40">
    <w:p w14:paraId="28E5B6F5" w14:textId="77777777" w:rsidR="00B550ED" w:rsidRPr="0045332D" w:rsidRDefault="00B550ED" w:rsidP="007525B2">
      <w:pPr>
        <w:pStyle w:val="FootnoteText"/>
      </w:pPr>
      <w:r>
        <w:rPr>
          <w:rStyle w:val="FootnoteReference"/>
        </w:rPr>
        <w:footnoteRef/>
      </w:r>
      <w:r>
        <w:t xml:space="preserve"> DCLG </w:t>
      </w:r>
      <w:r>
        <w:rPr>
          <w:i/>
        </w:rPr>
        <w:t>Planning policy for traveller sites</w:t>
      </w:r>
      <w:r>
        <w:t>, August 2015, paragraph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26849" w14:textId="77777777" w:rsidR="00B550ED" w:rsidRDefault="00B55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97479" w14:textId="676EE284" w:rsidR="00B550ED" w:rsidRPr="00BA12A2" w:rsidRDefault="00B550ED" w:rsidP="00391B67">
    <w:pPr>
      <w:pStyle w:val="Header"/>
      <w:pBdr>
        <w:bottom w:val="single" w:sz="18" w:space="1" w:color="0D5F5D"/>
      </w:pBdr>
      <w:tabs>
        <w:tab w:val="clear" w:pos="4153"/>
        <w:tab w:val="clear" w:pos="8306"/>
        <w:tab w:val="right" w:pos="9356"/>
        <w:tab w:val="right" w:pos="15593"/>
      </w:tabs>
      <w:ind w:right="-23"/>
      <w:jc w:val="left"/>
      <w:rPr>
        <w:b/>
        <w:bCs/>
        <w:color w:val="009999"/>
        <w:sz w:val="18"/>
        <w:szCs w:val="18"/>
      </w:rPr>
    </w:pPr>
    <w:r>
      <w:rPr>
        <w:color w:val="009999"/>
        <w:sz w:val="18"/>
        <w:szCs w:val="18"/>
      </w:rPr>
      <w:t>WEST BERKSHIRE</w:t>
    </w:r>
    <w:r w:rsidRPr="00FA6EA9">
      <w:rPr>
        <w:color w:val="009999"/>
        <w:sz w:val="18"/>
        <w:szCs w:val="18"/>
      </w:rPr>
      <w:t xml:space="preserve"> </w:t>
    </w:r>
    <w:r>
      <w:rPr>
        <w:color w:val="009999"/>
        <w:sz w:val="18"/>
        <w:szCs w:val="18"/>
      </w:rPr>
      <w:t>GTAA – Draft Report</w:t>
    </w:r>
    <w:r>
      <w:rPr>
        <w:color w:val="009999"/>
        <w:sz w:val="18"/>
        <w:szCs w:val="18"/>
      </w:rPr>
      <w:tab/>
    </w:r>
    <w:r w:rsidRPr="004B1CF8">
      <w:rPr>
        <w:color w:val="009999"/>
        <w:sz w:val="18"/>
        <w:szCs w:val="18"/>
      </w:rPr>
      <w:t xml:space="preserve"> Page | </w:t>
    </w:r>
    <w:r w:rsidRPr="004B1CF8">
      <w:rPr>
        <w:color w:val="009999"/>
        <w:sz w:val="18"/>
        <w:szCs w:val="18"/>
      </w:rPr>
      <w:fldChar w:fldCharType="begin"/>
    </w:r>
    <w:r w:rsidRPr="004B1CF8">
      <w:rPr>
        <w:color w:val="009999"/>
        <w:sz w:val="18"/>
        <w:szCs w:val="18"/>
      </w:rPr>
      <w:instrText xml:space="preserve"> PAGE   \* MERGEFORMAT </w:instrText>
    </w:r>
    <w:r w:rsidRPr="004B1CF8">
      <w:rPr>
        <w:color w:val="009999"/>
        <w:sz w:val="18"/>
        <w:szCs w:val="18"/>
      </w:rPr>
      <w:fldChar w:fldCharType="separate"/>
    </w:r>
    <w:r w:rsidRPr="004977F2">
      <w:rPr>
        <w:b/>
        <w:bCs/>
        <w:noProof/>
        <w:color w:val="009999"/>
        <w:sz w:val="18"/>
        <w:szCs w:val="18"/>
      </w:rPr>
      <w:t>2</w:t>
    </w:r>
    <w:r w:rsidRPr="004B1CF8">
      <w:rPr>
        <w:color w:val="009999"/>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1B15" w14:textId="77777777" w:rsidR="00B550ED" w:rsidRDefault="00B550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8912D" w14:textId="2865DEF0" w:rsidR="00B550ED" w:rsidRPr="00BA12A2" w:rsidRDefault="00B550ED" w:rsidP="0067491B">
    <w:pPr>
      <w:pStyle w:val="Header"/>
      <w:pBdr>
        <w:bottom w:val="single" w:sz="18" w:space="1" w:color="0D5F5D"/>
      </w:pBdr>
      <w:tabs>
        <w:tab w:val="clear" w:pos="4153"/>
        <w:tab w:val="clear" w:pos="8306"/>
        <w:tab w:val="right" w:pos="9213"/>
        <w:tab w:val="right" w:pos="15593"/>
      </w:tabs>
      <w:ind w:right="-23"/>
      <w:jc w:val="left"/>
      <w:rPr>
        <w:b/>
        <w:bCs/>
        <w:color w:val="009999"/>
        <w:sz w:val="18"/>
        <w:szCs w:val="18"/>
      </w:rPr>
    </w:pPr>
    <w:r>
      <w:rPr>
        <w:color w:val="009999"/>
        <w:sz w:val="18"/>
        <w:szCs w:val="18"/>
      </w:rPr>
      <w:t>West Berkshire District GTAA Update – Final Report</w:t>
    </w:r>
    <w:r>
      <w:rPr>
        <w:color w:val="009999"/>
        <w:sz w:val="18"/>
        <w:szCs w:val="18"/>
      </w:rPr>
      <w:tab/>
    </w:r>
    <w:r w:rsidRPr="004B1CF8">
      <w:rPr>
        <w:color w:val="009999"/>
        <w:sz w:val="18"/>
        <w:szCs w:val="18"/>
      </w:rPr>
      <w:t xml:space="preserve"> Page | </w:t>
    </w:r>
    <w:r w:rsidRPr="004B1CF8">
      <w:rPr>
        <w:color w:val="009999"/>
        <w:sz w:val="18"/>
        <w:szCs w:val="18"/>
      </w:rPr>
      <w:fldChar w:fldCharType="begin"/>
    </w:r>
    <w:r w:rsidRPr="004B1CF8">
      <w:rPr>
        <w:color w:val="009999"/>
        <w:sz w:val="18"/>
        <w:szCs w:val="18"/>
      </w:rPr>
      <w:instrText xml:space="preserve"> PAGE   \* MERGEFORMAT </w:instrText>
    </w:r>
    <w:r w:rsidRPr="004B1CF8">
      <w:rPr>
        <w:color w:val="009999"/>
        <w:sz w:val="18"/>
        <w:szCs w:val="18"/>
      </w:rPr>
      <w:fldChar w:fldCharType="separate"/>
    </w:r>
    <w:r w:rsidR="004224E8" w:rsidRPr="004224E8">
      <w:rPr>
        <w:b/>
        <w:bCs/>
        <w:noProof/>
        <w:color w:val="009999"/>
        <w:sz w:val="18"/>
        <w:szCs w:val="18"/>
      </w:rPr>
      <w:t>2</w:t>
    </w:r>
    <w:r w:rsidRPr="004B1CF8">
      <w:rPr>
        <w:color w:val="009999"/>
        <w:sz w:val="18"/>
        <w:szCs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AFA7" w14:textId="16968B07" w:rsidR="00B550ED" w:rsidRPr="00BA12A2" w:rsidRDefault="00B550ED" w:rsidP="0067491B">
    <w:pPr>
      <w:pStyle w:val="Header"/>
      <w:pBdr>
        <w:bottom w:val="single" w:sz="18" w:space="1" w:color="0D5F5D"/>
      </w:pBdr>
      <w:tabs>
        <w:tab w:val="clear" w:pos="4153"/>
        <w:tab w:val="clear" w:pos="8306"/>
        <w:tab w:val="right" w:pos="14145"/>
      </w:tabs>
      <w:ind w:right="-23"/>
      <w:jc w:val="left"/>
      <w:rPr>
        <w:b/>
        <w:bCs/>
        <w:color w:val="009999"/>
        <w:sz w:val="18"/>
        <w:szCs w:val="18"/>
      </w:rPr>
    </w:pPr>
    <w:r>
      <w:rPr>
        <w:color w:val="009999"/>
        <w:sz w:val="18"/>
        <w:szCs w:val="18"/>
      </w:rPr>
      <w:t>West Berkshire</w:t>
    </w:r>
    <w:r w:rsidRPr="00FA6EA9">
      <w:rPr>
        <w:color w:val="009999"/>
        <w:sz w:val="18"/>
        <w:szCs w:val="18"/>
      </w:rPr>
      <w:t xml:space="preserve"> </w:t>
    </w:r>
    <w:r>
      <w:rPr>
        <w:color w:val="009999"/>
        <w:sz w:val="18"/>
        <w:szCs w:val="18"/>
      </w:rPr>
      <w:t>District GTAA Update – Final Report</w:t>
    </w:r>
    <w:r>
      <w:rPr>
        <w:color w:val="009999"/>
        <w:sz w:val="18"/>
        <w:szCs w:val="18"/>
      </w:rPr>
      <w:tab/>
    </w:r>
    <w:r w:rsidRPr="004B1CF8">
      <w:rPr>
        <w:color w:val="009999"/>
        <w:sz w:val="18"/>
        <w:szCs w:val="18"/>
      </w:rPr>
      <w:t xml:space="preserve"> Page | </w:t>
    </w:r>
    <w:r w:rsidRPr="004B1CF8">
      <w:rPr>
        <w:color w:val="009999"/>
        <w:sz w:val="18"/>
        <w:szCs w:val="18"/>
      </w:rPr>
      <w:fldChar w:fldCharType="begin"/>
    </w:r>
    <w:r w:rsidRPr="004B1CF8">
      <w:rPr>
        <w:color w:val="009999"/>
        <w:sz w:val="18"/>
        <w:szCs w:val="18"/>
      </w:rPr>
      <w:instrText xml:space="preserve"> PAGE   \* MERGEFORMAT </w:instrText>
    </w:r>
    <w:r w:rsidRPr="004B1CF8">
      <w:rPr>
        <w:color w:val="009999"/>
        <w:sz w:val="18"/>
        <w:szCs w:val="18"/>
      </w:rPr>
      <w:fldChar w:fldCharType="separate"/>
    </w:r>
    <w:r w:rsidRPr="00601490">
      <w:rPr>
        <w:b/>
        <w:bCs/>
        <w:noProof/>
        <w:color w:val="009999"/>
        <w:sz w:val="18"/>
        <w:szCs w:val="18"/>
      </w:rPr>
      <w:t>29</w:t>
    </w:r>
    <w:r w:rsidRPr="004B1CF8">
      <w:rPr>
        <w:color w:val="009999"/>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2880A" w14:textId="2D7F1DFE" w:rsidR="00B550ED" w:rsidRPr="00BA12A2" w:rsidRDefault="00B550ED" w:rsidP="0067491B">
    <w:pPr>
      <w:pStyle w:val="Header"/>
      <w:pBdr>
        <w:bottom w:val="single" w:sz="18" w:space="1" w:color="0D5F5D"/>
      </w:pBdr>
      <w:tabs>
        <w:tab w:val="clear" w:pos="4153"/>
        <w:tab w:val="clear" w:pos="8306"/>
        <w:tab w:val="right" w:pos="9213"/>
        <w:tab w:val="right" w:pos="15593"/>
      </w:tabs>
      <w:ind w:right="-23"/>
      <w:jc w:val="left"/>
      <w:rPr>
        <w:b/>
        <w:bCs/>
        <w:color w:val="009999"/>
        <w:sz w:val="18"/>
        <w:szCs w:val="18"/>
      </w:rPr>
    </w:pPr>
    <w:r>
      <w:rPr>
        <w:color w:val="009999"/>
        <w:sz w:val="18"/>
        <w:szCs w:val="18"/>
      </w:rPr>
      <w:t>West Berkshire District</w:t>
    </w:r>
    <w:r w:rsidRPr="00FA6EA9">
      <w:rPr>
        <w:color w:val="009999"/>
        <w:sz w:val="18"/>
        <w:szCs w:val="18"/>
      </w:rPr>
      <w:t xml:space="preserve"> </w:t>
    </w:r>
    <w:r>
      <w:rPr>
        <w:color w:val="009999"/>
        <w:sz w:val="18"/>
        <w:szCs w:val="18"/>
      </w:rPr>
      <w:t>GTAA Update – Final Report</w:t>
    </w:r>
    <w:r>
      <w:rPr>
        <w:color w:val="009999"/>
        <w:sz w:val="18"/>
        <w:szCs w:val="18"/>
      </w:rPr>
      <w:tab/>
    </w:r>
    <w:r w:rsidRPr="004B1CF8">
      <w:rPr>
        <w:color w:val="009999"/>
        <w:sz w:val="18"/>
        <w:szCs w:val="18"/>
      </w:rPr>
      <w:t xml:space="preserve"> Page | </w:t>
    </w:r>
    <w:r w:rsidRPr="004B1CF8">
      <w:rPr>
        <w:color w:val="009999"/>
        <w:sz w:val="18"/>
        <w:szCs w:val="18"/>
      </w:rPr>
      <w:fldChar w:fldCharType="begin"/>
    </w:r>
    <w:r w:rsidRPr="004B1CF8">
      <w:rPr>
        <w:color w:val="009999"/>
        <w:sz w:val="18"/>
        <w:szCs w:val="18"/>
      </w:rPr>
      <w:instrText xml:space="preserve"> PAGE   \* MERGEFORMAT </w:instrText>
    </w:r>
    <w:r w:rsidRPr="004B1CF8">
      <w:rPr>
        <w:color w:val="009999"/>
        <w:sz w:val="18"/>
        <w:szCs w:val="18"/>
      </w:rPr>
      <w:fldChar w:fldCharType="separate"/>
    </w:r>
    <w:r w:rsidRPr="00601490">
      <w:rPr>
        <w:b/>
        <w:bCs/>
        <w:noProof/>
        <w:color w:val="009999"/>
        <w:sz w:val="18"/>
        <w:szCs w:val="18"/>
      </w:rPr>
      <w:t>42</w:t>
    </w:r>
    <w:r w:rsidRPr="004B1CF8">
      <w:rPr>
        <w:color w:val="009999"/>
        <w:sz w:val="18"/>
        <w:szCs w:val="1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C226D" w14:textId="2E5B296A" w:rsidR="00B550ED" w:rsidRPr="00FC1290" w:rsidRDefault="00B550ED" w:rsidP="0067491B">
    <w:pPr>
      <w:pStyle w:val="Header"/>
      <w:pBdr>
        <w:bottom w:val="single" w:sz="18" w:space="1" w:color="0D5F5D"/>
      </w:pBdr>
      <w:tabs>
        <w:tab w:val="clear" w:pos="4153"/>
        <w:tab w:val="clear" w:pos="8306"/>
        <w:tab w:val="right" w:pos="9356"/>
        <w:tab w:val="right" w:pos="15309"/>
      </w:tabs>
      <w:ind w:right="-2"/>
      <w:jc w:val="left"/>
      <w:rPr>
        <w:b/>
        <w:color w:val="009999"/>
        <w:sz w:val="18"/>
      </w:rPr>
    </w:pPr>
    <w:r>
      <w:rPr>
        <w:color w:val="009999"/>
        <w:sz w:val="18"/>
        <w:szCs w:val="18"/>
      </w:rPr>
      <w:t>West Berkshire</w:t>
    </w:r>
    <w:r w:rsidRPr="00FA6EA9">
      <w:rPr>
        <w:color w:val="009999"/>
        <w:sz w:val="18"/>
        <w:szCs w:val="18"/>
      </w:rPr>
      <w:t xml:space="preserve"> </w:t>
    </w:r>
    <w:r>
      <w:rPr>
        <w:color w:val="009999"/>
        <w:sz w:val="18"/>
        <w:szCs w:val="18"/>
      </w:rPr>
      <w:t>District GTAA Update – Final Report</w:t>
    </w:r>
    <w:r>
      <w:rPr>
        <w:color w:val="009999"/>
        <w:sz w:val="18"/>
        <w:szCs w:val="18"/>
      </w:rPr>
      <w:tab/>
    </w:r>
    <w:r>
      <w:rPr>
        <w:color w:val="009999"/>
        <w:sz w:val="18"/>
        <w:szCs w:val="18"/>
      </w:rPr>
      <w:tab/>
    </w:r>
    <w:r w:rsidRPr="004B1CF8">
      <w:rPr>
        <w:color w:val="009999"/>
        <w:sz w:val="18"/>
        <w:szCs w:val="18"/>
      </w:rPr>
      <w:t xml:space="preserve"> Page | </w:t>
    </w:r>
    <w:r w:rsidRPr="004B1CF8">
      <w:rPr>
        <w:color w:val="009999"/>
        <w:sz w:val="18"/>
        <w:szCs w:val="18"/>
      </w:rPr>
      <w:fldChar w:fldCharType="begin"/>
    </w:r>
    <w:r w:rsidRPr="004B1CF8">
      <w:rPr>
        <w:color w:val="009999"/>
        <w:sz w:val="18"/>
        <w:szCs w:val="18"/>
      </w:rPr>
      <w:instrText xml:space="preserve"> PAGE   \* MERGEFORMAT </w:instrText>
    </w:r>
    <w:r w:rsidRPr="004B1CF8">
      <w:rPr>
        <w:color w:val="009999"/>
        <w:sz w:val="18"/>
        <w:szCs w:val="18"/>
      </w:rPr>
      <w:fldChar w:fldCharType="separate"/>
    </w:r>
    <w:r w:rsidRPr="00601490">
      <w:rPr>
        <w:b/>
        <w:bCs/>
        <w:noProof/>
        <w:color w:val="009999"/>
        <w:sz w:val="18"/>
        <w:szCs w:val="18"/>
      </w:rPr>
      <w:t>61</w:t>
    </w:r>
    <w:r w:rsidRPr="004B1CF8">
      <w:rPr>
        <w:color w:val="009999"/>
        <w:sz w:val="18"/>
        <w:szCs w:val="1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A090E" w14:textId="7AB7A4F5" w:rsidR="00B550ED" w:rsidRPr="00736408" w:rsidRDefault="00B550ED" w:rsidP="0067491B">
    <w:pPr>
      <w:pStyle w:val="Header"/>
      <w:pBdr>
        <w:bottom w:val="single" w:sz="18" w:space="1" w:color="0D5F5D"/>
      </w:pBdr>
      <w:tabs>
        <w:tab w:val="clear" w:pos="4153"/>
        <w:tab w:val="clear" w:pos="8306"/>
        <w:tab w:val="right" w:pos="9213"/>
        <w:tab w:val="right" w:pos="15421"/>
      </w:tabs>
      <w:ind w:right="-23"/>
      <w:jc w:val="left"/>
      <w:rPr>
        <w:b/>
        <w:bCs/>
        <w:color w:val="009999"/>
        <w:sz w:val="18"/>
        <w:szCs w:val="18"/>
      </w:rPr>
    </w:pPr>
    <w:r>
      <w:rPr>
        <w:color w:val="009999"/>
        <w:sz w:val="18"/>
        <w:szCs w:val="18"/>
      </w:rPr>
      <w:t>West Berkshire</w:t>
    </w:r>
    <w:r w:rsidRPr="00FA6EA9">
      <w:rPr>
        <w:color w:val="009999"/>
        <w:sz w:val="18"/>
        <w:szCs w:val="18"/>
      </w:rPr>
      <w:t xml:space="preserve"> </w:t>
    </w:r>
    <w:r>
      <w:rPr>
        <w:color w:val="009999"/>
        <w:sz w:val="18"/>
        <w:szCs w:val="18"/>
      </w:rPr>
      <w:t>District GTAA Update – Final Report</w:t>
    </w:r>
    <w:r>
      <w:rPr>
        <w:color w:val="009999"/>
        <w:sz w:val="18"/>
        <w:szCs w:val="18"/>
      </w:rPr>
      <w:tab/>
    </w:r>
    <w:r w:rsidRPr="004B1CF8">
      <w:rPr>
        <w:color w:val="009999"/>
        <w:sz w:val="18"/>
        <w:szCs w:val="18"/>
      </w:rPr>
      <w:t xml:space="preserve"> Page | </w:t>
    </w:r>
    <w:r w:rsidRPr="004B1CF8">
      <w:rPr>
        <w:color w:val="009999"/>
        <w:sz w:val="18"/>
        <w:szCs w:val="18"/>
      </w:rPr>
      <w:fldChar w:fldCharType="begin"/>
    </w:r>
    <w:r w:rsidRPr="004B1CF8">
      <w:rPr>
        <w:color w:val="009999"/>
        <w:sz w:val="18"/>
        <w:szCs w:val="18"/>
      </w:rPr>
      <w:instrText xml:space="preserve"> PAGE   \* MERGEFORMAT </w:instrText>
    </w:r>
    <w:r w:rsidRPr="004B1CF8">
      <w:rPr>
        <w:color w:val="009999"/>
        <w:sz w:val="18"/>
        <w:szCs w:val="18"/>
      </w:rPr>
      <w:fldChar w:fldCharType="separate"/>
    </w:r>
    <w:r w:rsidRPr="00601490">
      <w:rPr>
        <w:b/>
        <w:bCs/>
        <w:noProof/>
        <w:color w:val="009999"/>
        <w:sz w:val="18"/>
        <w:szCs w:val="18"/>
      </w:rPr>
      <w:t>63</w:t>
    </w:r>
    <w:r w:rsidRPr="004B1CF8">
      <w:rPr>
        <w:color w:val="009999"/>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8A6A4AE"/>
    <w:lvl w:ilvl="0">
      <w:start w:val="1"/>
      <w:numFmt w:val="bullet"/>
      <w:pStyle w:val="ListBullet"/>
      <w:lvlText w:val=""/>
      <w:lvlJc w:val="left"/>
      <w:pPr>
        <w:tabs>
          <w:tab w:val="num" w:pos="1134"/>
        </w:tabs>
        <w:ind w:left="1134" w:hanging="425"/>
      </w:pPr>
      <w:rPr>
        <w:rFonts w:ascii="Symbol" w:hAnsi="Symbol" w:hint="default"/>
      </w:rPr>
    </w:lvl>
  </w:abstractNum>
  <w:abstractNum w:abstractNumId="1" w15:restartNumberingAfterBreak="0">
    <w:nsid w:val="09681064"/>
    <w:multiLevelType w:val="hybridMultilevel"/>
    <w:tmpl w:val="EA926F82"/>
    <w:lvl w:ilvl="0" w:tplc="FFFFFFFF">
      <w:start w:val="1"/>
      <w:numFmt w:val="bullet"/>
      <w:pStyle w:val="mrukbullet1"/>
      <w:lvlText w:val=""/>
      <w:lvlJc w:val="left"/>
      <w:pPr>
        <w:tabs>
          <w:tab w:val="num" w:pos="360"/>
        </w:tabs>
        <w:ind w:left="340" w:hanging="340"/>
      </w:pPr>
      <w:rPr>
        <w:rFonts w:ascii="Wingdings" w:hAnsi="Wingdings" w:hint="default"/>
        <w:color w:val="C94338"/>
        <w:position w:val="-2"/>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91293"/>
    <w:multiLevelType w:val="hybridMultilevel"/>
    <w:tmpl w:val="F8487538"/>
    <w:lvl w:ilvl="0" w:tplc="DC32F0AE">
      <w:start w:val="1"/>
      <w:numFmt w:val="bullet"/>
      <w:pStyle w:val="bullet"/>
      <w:lvlText w:val=""/>
      <w:lvlJc w:val="left"/>
      <w:pPr>
        <w:ind w:left="1069" w:hanging="360"/>
      </w:pPr>
      <w:rPr>
        <w:rFonts w:ascii="Symbol" w:hAnsi="Symbol" w:hint="default"/>
        <w:color w:val="006666"/>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3" w15:restartNumberingAfterBreak="0">
    <w:nsid w:val="0FEA3780"/>
    <w:multiLevelType w:val="multilevel"/>
    <w:tmpl w:val="36B2BFDE"/>
    <w:lvl w:ilvl="0">
      <w:start w:val="1"/>
      <w:numFmt w:val="decimal"/>
      <w:pStyle w:val="Heading1"/>
      <w:lvlText w:val="%1."/>
      <w:lvlJc w:val="left"/>
      <w:pPr>
        <w:ind w:left="709" w:hanging="709"/>
      </w:pPr>
      <w:rPr>
        <w:rFonts w:ascii="Calibri" w:hAnsi="Calibri" w:hint="default"/>
        <w:color w:val="009999"/>
        <w:sz w:val="40"/>
      </w:rPr>
    </w:lvl>
    <w:lvl w:ilvl="1">
      <w:start w:val="1"/>
      <w:numFmt w:val="decimal"/>
      <w:pStyle w:val="Reporttext"/>
      <w:lvlText w:val="%1.%2"/>
      <w:lvlJc w:val="left"/>
      <w:pPr>
        <w:ind w:left="709" w:hanging="709"/>
      </w:pPr>
      <w:rPr>
        <w:rFonts w:ascii="Calibri" w:hAnsi="Calibri" w:cstheme="minorHAnsi" w:hint="default"/>
        <w:color w:val="auto"/>
        <w:sz w:val="22"/>
        <w:szCs w:val="24"/>
      </w:rPr>
    </w:lvl>
    <w:lvl w:ilvl="2">
      <w:start w:val="1"/>
      <w:numFmt w:val="lowerRoman"/>
      <w:lvlText w:val="%3."/>
      <w:lvlJc w:val="righ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4" w15:restartNumberingAfterBreak="0">
    <w:nsid w:val="107A50CC"/>
    <w:multiLevelType w:val="hybridMultilevel"/>
    <w:tmpl w:val="90546DEE"/>
    <w:lvl w:ilvl="0" w:tplc="08090001">
      <w:start w:val="1"/>
      <w:numFmt w:val="bullet"/>
      <w:lvlText w:val=""/>
      <w:lvlJc w:val="left"/>
      <w:pPr>
        <w:ind w:left="1080" w:hanging="360"/>
      </w:pPr>
      <w:rPr>
        <w:rFonts w:ascii="Symbol" w:hAnsi="Symbol" w:hint="default"/>
      </w:rPr>
    </w:lvl>
    <w:lvl w:ilvl="1" w:tplc="E16C81A0">
      <w:start w:val="1"/>
      <w:numFmt w:val="bullet"/>
      <w:pStyle w:val="bullet2"/>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0CC1AFB"/>
    <w:multiLevelType w:val="hybridMultilevel"/>
    <w:tmpl w:val="F5DA5088"/>
    <w:lvl w:ilvl="0" w:tplc="F1388A20">
      <w:start w:val="1"/>
      <w:numFmt w:val="bullet"/>
      <w:lvlText w:val=""/>
      <w:lvlJc w:val="left"/>
      <w:pPr>
        <w:ind w:left="1429" w:hanging="360"/>
      </w:pPr>
      <w:rPr>
        <w:rFonts w:ascii="Symbol" w:hAnsi="Symbol" w:hint="default"/>
        <w:color w:val="009999"/>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FBB7EC9"/>
    <w:multiLevelType w:val="hybridMultilevel"/>
    <w:tmpl w:val="96BAE36E"/>
    <w:lvl w:ilvl="0" w:tplc="08090001">
      <w:start w:val="1"/>
      <w:numFmt w:val="bullet"/>
      <w:lvlText w:val=""/>
      <w:lvlJc w:val="left"/>
      <w:pPr>
        <w:ind w:left="720" w:hanging="360"/>
      </w:pPr>
      <w:rPr>
        <w:rFonts w:ascii="Symbol" w:hAnsi="Symbol" w:hint="default"/>
      </w:rPr>
    </w:lvl>
    <w:lvl w:ilvl="1" w:tplc="A4ACF216">
      <w:start w:val="1"/>
      <w:numFmt w:val="bullet"/>
      <w:pStyle w:val="bulletlevel2"/>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00D6B"/>
    <w:multiLevelType w:val="hybridMultilevel"/>
    <w:tmpl w:val="F224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F2E8A"/>
    <w:multiLevelType w:val="multilevel"/>
    <w:tmpl w:val="41FA7BCE"/>
    <w:lvl w:ilvl="0">
      <w:start w:val="1"/>
      <w:numFmt w:val="decimal"/>
      <w:lvlText w:val="%1."/>
      <w:lvlJc w:val="left"/>
      <w:pPr>
        <w:ind w:left="709" w:hanging="709"/>
      </w:pPr>
      <w:rPr>
        <w:rFonts w:ascii="Calibri" w:hAnsi="Calibri" w:hint="default"/>
        <w:color w:val="009999"/>
        <w:sz w:val="40"/>
      </w:rPr>
    </w:lvl>
    <w:lvl w:ilvl="1">
      <w:start w:val="1"/>
      <w:numFmt w:val="decimal"/>
      <w:lvlText w:val="%1.%2"/>
      <w:lvlJc w:val="left"/>
      <w:pPr>
        <w:ind w:left="709" w:hanging="709"/>
      </w:pPr>
      <w:rPr>
        <w:rFonts w:ascii="Calibri" w:hAnsi="Calibri" w:hint="default"/>
        <w:color w:val="auto"/>
        <w:sz w:val="22"/>
      </w:rPr>
    </w:lvl>
    <w:lvl w:ilvl="2">
      <w:start w:val="1"/>
      <w:numFmt w:val="lowerRoman"/>
      <w:lvlText w:val="%3."/>
      <w:lvlJc w:val="righ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9" w15:restartNumberingAfterBreak="0">
    <w:nsid w:val="275239E6"/>
    <w:multiLevelType w:val="hybridMultilevel"/>
    <w:tmpl w:val="F4BED2A4"/>
    <w:lvl w:ilvl="0" w:tplc="F1388A20">
      <w:start w:val="1"/>
      <w:numFmt w:val="bullet"/>
      <w:lvlText w:val=""/>
      <w:lvlJc w:val="left"/>
      <w:pPr>
        <w:ind w:left="2138" w:hanging="360"/>
      </w:pPr>
      <w:rPr>
        <w:rFonts w:ascii="Symbol" w:hAnsi="Symbol" w:hint="default"/>
        <w:color w:val="009999"/>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EC62C48"/>
    <w:multiLevelType w:val="multilevel"/>
    <w:tmpl w:val="7AD481F8"/>
    <w:lvl w:ilvl="0">
      <w:start w:val="5"/>
      <w:numFmt w:val="decimal"/>
      <w:lvlText w:val="%1"/>
      <w:lvlJc w:val="left"/>
      <w:pPr>
        <w:ind w:left="360" w:hanging="360"/>
      </w:pPr>
      <w:rPr>
        <w:rFonts w:cs="Arial"/>
      </w:rPr>
    </w:lvl>
    <w:lvl w:ilvl="1">
      <w:start w:val="4"/>
      <w:numFmt w:val="decimal"/>
      <w:pStyle w:val="StyleJustified"/>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1080" w:hanging="108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440" w:hanging="144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800" w:hanging="1800"/>
      </w:pPr>
      <w:rPr>
        <w:rFonts w:cs="Arial"/>
      </w:rPr>
    </w:lvl>
    <w:lvl w:ilvl="8">
      <w:start w:val="1"/>
      <w:numFmt w:val="decimal"/>
      <w:lvlText w:val="%1.%2.%3.%4.%5.%6.%7.%8.%9"/>
      <w:lvlJc w:val="left"/>
      <w:pPr>
        <w:ind w:left="1800" w:hanging="1800"/>
      </w:pPr>
      <w:rPr>
        <w:rFonts w:cs="Arial"/>
      </w:rPr>
    </w:lvl>
  </w:abstractNum>
  <w:abstractNum w:abstractNumId="11" w15:restartNumberingAfterBreak="0">
    <w:nsid w:val="331C0844"/>
    <w:multiLevelType w:val="multilevel"/>
    <w:tmpl w:val="27043366"/>
    <w:lvl w:ilvl="0">
      <w:start w:val="1"/>
      <w:numFmt w:val="decimal"/>
      <w:lvlText w:val="%1."/>
      <w:lvlJc w:val="left"/>
      <w:pPr>
        <w:tabs>
          <w:tab w:val="num" w:pos="709"/>
        </w:tabs>
        <w:ind w:left="709" w:hanging="709"/>
      </w:pPr>
      <w:rPr>
        <w:rFonts w:hint="default"/>
        <w:sz w:val="28"/>
        <w:szCs w:val="28"/>
      </w:rPr>
    </w:lvl>
    <w:lvl w:ilvl="1">
      <w:start w:val="1"/>
      <w:numFmt w:val="bullet"/>
      <w:pStyle w:val="Bullet0"/>
      <w:lvlText w:val=""/>
      <w:lvlJc w:val="left"/>
      <w:pPr>
        <w:tabs>
          <w:tab w:val="num" w:pos="709"/>
        </w:tabs>
        <w:ind w:left="709" w:hanging="709"/>
      </w:pPr>
      <w:rPr>
        <w:rFonts w:ascii="Symbol" w:hAnsi="Symbol" w:hint="default"/>
        <w:b w:val="0"/>
      </w:rPr>
    </w:lvl>
    <w:lvl w:ilvl="2">
      <w:start w:val="1"/>
      <w:numFmt w:val="bullet"/>
      <w:lvlText w:val=""/>
      <w:lvlJc w:val="left"/>
      <w:pPr>
        <w:tabs>
          <w:tab w:val="num" w:pos="992"/>
        </w:tabs>
        <w:ind w:left="992" w:hanging="283"/>
      </w:pPr>
      <w:rPr>
        <w:rFonts w:ascii="Symbol" w:hAnsi="Symbol" w:hint="default"/>
      </w:rPr>
    </w:lvl>
    <w:lvl w:ilvl="3">
      <w:start w:val="1"/>
      <w:numFmt w:val="bullet"/>
      <w:lvlText w:val=""/>
      <w:lvlJc w:val="left"/>
      <w:pPr>
        <w:tabs>
          <w:tab w:val="num" w:pos="1276"/>
        </w:tabs>
        <w:ind w:left="1276" w:hanging="284"/>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461278C"/>
    <w:multiLevelType w:val="multilevel"/>
    <w:tmpl w:val="BB6216A4"/>
    <w:lvl w:ilvl="0">
      <w:start w:val="1"/>
      <w:numFmt w:val="decimal"/>
      <w:pStyle w:val="Heading31"/>
      <w:lvlText w:val="%1."/>
      <w:lvlJc w:val="left"/>
      <w:pPr>
        <w:ind w:left="1429" w:hanging="360"/>
      </w:pPr>
      <w:rPr>
        <w:rFonts w:cs="Times New Roman"/>
      </w:rPr>
    </w:lvl>
    <w:lvl w:ilvl="1">
      <w:start w:val="1"/>
      <w:numFmt w:val="decimal"/>
      <w:lvlText w:val="%2."/>
      <w:lvlJc w:val="left"/>
      <w:pPr>
        <w:ind w:left="1804" w:hanging="735"/>
      </w:pPr>
      <w:rPr>
        <w:rFonts w:cs="Times New Roman" w:hint="default"/>
      </w:rPr>
    </w:lvl>
    <w:lvl w:ilvl="2">
      <w:start w:val="1"/>
      <w:numFmt w:val="decimal"/>
      <w:isLgl/>
      <w:lvlText w:val="%1.%2.%3"/>
      <w:lvlJc w:val="left"/>
      <w:pPr>
        <w:ind w:left="1804" w:hanging="735"/>
      </w:pPr>
      <w:rPr>
        <w:rFonts w:cs="Times New Roman" w:hint="default"/>
      </w:rPr>
    </w:lvl>
    <w:lvl w:ilvl="3">
      <w:start w:val="1"/>
      <w:numFmt w:val="decimal"/>
      <w:isLgl/>
      <w:lvlText w:val="%1.%2.%3.%4"/>
      <w:lvlJc w:val="left"/>
      <w:pPr>
        <w:ind w:left="1804" w:hanging="735"/>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13" w15:restartNumberingAfterBreak="0">
    <w:nsid w:val="35B82037"/>
    <w:multiLevelType w:val="hybridMultilevel"/>
    <w:tmpl w:val="07A807DA"/>
    <w:lvl w:ilvl="0" w:tplc="6D5CBE8E">
      <w:start w:val="1"/>
      <w:numFmt w:val="bullet"/>
      <w:lvlText w:val=""/>
      <w:lvlJc w:val="left"/>
      <w:pPr>
        <w:ind w:left="2138" w:hanging="360"/>
      </w:pPr>
      <w:rPr>
        <w:rFonts w:ascii="Symbol" w:hAnsi="Symbol" w:hint="default"/>
        <w:color w:val="009999"/>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AB73B02"/>
    <w:multiLevelType w:val="hybridMultilevel"/>
    <w:tmpl w:val="54D85CCA"/>
    <w:lvl w:ilvl="0" w:tplc="32624380">
      <w:numFmt w:val="bullet"/>
      <w:pStyle w:val="BodyTextIndent"/>
      <w:lvlText w:val=""/>
      <w:lvlJc w:val="left"/>
      <w:pPr>
        <w:tabs>
          <w:tab w:val="num" w:pos="1914"/>
        </w:tabs>
        <w:ind w:left="1914" w:hanging="397"/>
      </w:pPr>
      <w:rPr>
        <w:rFonts w:ascii="Symbol" w:hAnsi="Symbol" w:hint="default"/>
        <w:color w:val="008080"/>
      </w:rPr>
    </w:lvl>
    <w:lvl w:ilvl="1" w:tplc="E1B6885A">
      <w:start w:val="1"/>
      <w:numFmt w:val="bullet"/>
      <w:lvlText w:val=""/>
      <w:lvlJc w:val="left"/>
      <w:pPr>
        <w:tabs>
          <w:tab w:val="num" w:pos="2220"/>
        </w:tabs>
        <w:ind w:left="2220" w:hanging="360"/>
      </w:pPr>
      <w:rPr>
        <w:rFonts w:ascii="Symbol" w:hAnsi="Symbol" w:hint="default"/>
        <w:color w:val="auto"/>
      </w:rPr>
    </w:lvl>
    <w:lvl w:ilvl="2" w:tplc="7520EA3A" w:tentative="1">
      <w:start w:val="1"/>
      <w:numFmt w:val="bullet"/>
      <w:lvlText w:val=""/>
      <w:lvlJc w:val="left"/>
      <w:pPr>
        <w:tabs>
          <w:tab w:val="num" w:pos="2940"/>
        </w:tabs>
        <w:ind w:left="2940" w:hanging="360"/>
      </w:pPr>
      <w:rPr>
        <w:rFonts w:ascii="Wingdings" w:hAnsi="Wingdings" w:hint="default"/>
      </w:rPr>
    </w:lvl>
    <w:lvl w:ilvl="3" w:tplc="754E956E" w:tentative="1">
      <w:start w:val="1"/>
      <w:numFmt w:val="bullet"/>
      <w:lvlText w:val=""/>
      <w:lvlJc w:val="left"/>
      <w:pPr>
        <w:tabs>
          <w:tab w:val="num" w:pos="3660"/>
        </w:tabs>
        <w:ind w:left="3660" w:hanging="360"/>
      </w:pPr>
      <w:rPr>
        <w:rFonts w:ascii="Symbol" w:hAnsi="Symbol" w:hint="default"/>
      </w:rPr>
    </w:lvl>
    <w:lvl w:ilvl="4" w:tplc="04F8EBA4" w:tentative="1">
      <w:start w:val="1"/>
      <w:numFmt w:val="bullet"/>
      <w:lvlText w:val="o"/>
      <w:lvlJc w:val="left"/>
      <w:pPr>
        <w:tabs>
          <w:tab w:val="num" w:pos="4380"/>
        </w:tabs>
        <w:ind w:left="4380" w:hanging="360"/>
      </w:pPr>
      <w:rPr>
        <w:rFonts w:ascii="Courier New" w:hAnsi="Courier New" w:hint="default"/>
      </w:rPr>
    </w:lvl>
    <w:lvl w:ilvl="5" w:tplc="B2F03A4E" w:tentative="1">
      <w:start w:val="1"/>
      <w:numFmt w:val="bullet"/>
      <w:lvlText w:val=""/>
      <w:lvlJc w:val="left"/>
      <w:pPr>
        <w:tabs>
          <w:tab w:val="num" w:pos="5100"/>
        </w:tabs>
        <w:ind w:left="5100" w:hanging="360"/>
      </w:pPr>
      <w:rPr>
        <w:rFonts w:ascii="Wingdings" w:hAnsi="Wingdings" w:hint="default"/>
      </w:rPr>
    </w:lvl>
    <w:lvl w:ilvl="6" w:tplc="2B2E0334" w:tentative="1">
      <w:start w:val="1"/>
      <w:numFmt w:val="bullet"/>
      <w:lvlText w:val=""/>
      <w:lvlJc w:val="left"/>
      <w:pPr>
        <w:tabs>
          <w:tab w:val="num" w:pos="5820"/>
        </w:tabs>
        <w:ind w:left="5820" w:hanging="360"/>
      </w:pPr>
      <w:rPr>
        <w:rFonts w:ascii="Symbol" w:hAnsi="Symbol" w:hint="default"/>
      </w:rPr>
    </w:lvl>
    <w:lvl w:ilvl="7" w:tplc="647ED6A6" w:tentative="1">
      <w:start w:val="1"/>
      <w:numFmt w:val="bullet"/>
      <w:lvlText w:val="o"/>
      <w:lvlJc w:val="left"/>
      <w:pPr>
        <w:tabs>
          <w:tab w:val="num" w:pos="6540"/>
        </w:tabs>
        <w:ind w:left="6540" w:hanging="360"/>
      </w:pPr>
      <w:rPr>
        <w:rFonts w:ascii="Courier New" w:hAnsi="Courier New" w:hint="default"/>
      </w:rPr>
    </w:lvl>
    <w:lvl w:ilvl="8" w:tplc="3F0618B4"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3CE01B29"/>
    <w:multiLevelType w:val="multilevel"/>
    <w:tmpl w:val="A6A81A9E"/>
    <w:lvl w:ilvl="0">
      <w:start w:val="1"/>
      <w:numFmt w:val="decimal"/>
      <w:pStyle w:val="GVABullets"/>
      <w:lvlText w:val="%1."/>
      <w:lvlJc w:val="left"/>
      <w:pPr>
        <w:tabs>
          <w:tab w:val="num" w:pos="709"/>
        </w:tabs>
        <w:ind w:left="709" w:hanging="709"/>
      </w:pPr>
      <w:rPr>
        <w:rFonts w:ascii="Arial" w:eastAsia="Times New Roman" w:hAnsi="Arial" w:cs="Times New Roman"/>
        <w:b/>
        <w:i w:val="0"/>
        <w:sz w:val="32"/>
      </w:rPr>
    </w:lvl>
    <w:lvl w:ilvl="1">
      <w:start w:val="1"/>
      <w:numFmt w:val="decimal"/>
      <w:lvlText w:val="%1.%2"/>
      <w:lvlJc w:val="left"/>
      <w:pPr>
        <w:tabs>
          <w:tab w:val="num" w:pos="709"/>
        </w:tabs>
        <w:ind w:left="709" w:hanging="709"/>
      </w:pPr>
      <w:rPr>
        <w:rFonts w:ascii="Arial" w:hAnsi="Arial" w:cs="Arial" w:hint="default"/>
        <w:b w:val="0"/>
        <w:i w:val="0"/>
        <w:color w:val="auto"/>
        <w:sz w:val="24"/>
        <w:szCs w:val="24"/>
      </w:rPr>
    </w:lvl>
    <w:lvl w:ilvl="2">
      <w:start w:val="1"/>
      <w:numFmt w:val="bullet"/>
      <w:lvlText w:val=""/>
      <w:lvlJc w:val="left"/>
      <w:pPr>
        <w:tabs>
          <w:tab w:val="num" w:pos="1134"/>
        </w:tabs>
        <w:ind w:left="1134" w:hanging="425"/>
      </w:pPr>
      <w:rPr>
        <w:rFonts w:ascii="Symbol" w:hAnsi="Symbol" w:hint="default"/>
        <w:b w:val="0"/>
        <w:i w:val="0"/>
        <w:color w:val="auto"/>
        <w:sz w:val="24"/>
      </w:rPr>
    </w:lvl>
    <w:lvl w:ilvl="3">
      <w:start w:val="1"/>
      <w:numFmt w:val="bullet"/>
      <w:lvlText w:val=""/>
      <w:lvlJc w:val="left"/>
      <w:pPr>
        <w:tabs>
          <w:tab w:val="num" w:pos="1276"/>
        </w:tabs>
        <w:ind w:left="1276" w:hanging="284"/>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786A0B"/>
    <w:multiLevelType w:val="hybridMultilevel"/>
    <w:tmpl w:val="3B98BCD2"/>
    <w:lvl w:ilvl="0" w:tplc="6D5CBE8E">
      <w:start w:val="1"/>
      <w:numFmt w:val="bullet"/>
      <w:lvlText w:val=""/>
      <w:lvlJc w:val="left"/>
      <w:pPr>
        <w:ind w:left="1429" w:hanging="360"/>
      </w:pPr>
      <w:rPr>
        <w:rFonts w:ascii="Symbol" w:hAnsi="Symbol" w:hint="default"/>
        <w:color w:val="009999"/>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A6E200B"/>
    <w:multiLevelType w:val="multilevel"/>
    <w:tmpl w:val="B0F2D7BA"/>
    <w:styleLink w:val="Reportnumberingstyle"/>
    <w:lvl w:ilvl="0">
      <w:start w:val="1"/>
      <w:numFmt w:val="decimal"/>
      <w:lvlText w:val="%1."/>
      <w:lvlJc w:val="left"/>
      <w:pPr>
        <w:ind w:left="709" w:hanging="709"/>
      </w:pPr>
      <w:rPr>
        <w:rFonts w:ascii="Arial" w:hAnsi="Arial" w:hint="default"/>
        <w:color w:val="0070C0"/>
        <w:sz w:val="40"/>
      </w:rPr>
    </w:lvl>
    <w:lvl w:ilvl="1">
      <w:start w:val="1"/>
      <w:numFmt w:val="decimal"/>
      <w:lvlText w:val="%1.%2"/>
      <w:lvlJc w:val="left"/>
      <w:pPr>
        <w:ind w:left="709" w:hanging="709"/>
      </w:pPr>
      <w:rPr>
        <w:rFonts w:ascii="Arial" w:hAnsi="Arial" w:hint="default"/>
        <w:color w:val="auto"/>
        <w:sz w:val="22"/>
      </w:rPr>
    </w:lvl>
    <w:lvl w:ilvl="2">
      <w:start w:val="1"/>
      <w:numFmt w:val="lowerRoman"/>
      <w:lvlText w:val="%3."/>
      <w:lvlJc w:val="righ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18" w15:restartNumberingAfterBreak="0">
    <w:nsid w:val="4AB96564"/>
    <w:multiLevelType w:val="multilevel"/>
    <w:tmpl w:val="EE82B3C4"/>
    <w:lvl w:ilvl="0">
      <w:start w:val="1"/>
      <w:numFmt w:val="decimal"/>
      <w:lvlText w:val="%1.0"/>
      <w:lvlJc w:val="left"/>
      <w:pPr>
        <w:tabs>
          <w:tab w:val="num" w:pos="851"/>
        </w:tabs>
        <w:ind w:left="851" w:hanging="851"/>
      </w:pPr>
      <w:rPr>
        <w:rFonts w:hint="default"/>
      </w:rPr>
    </w:lvl>
    <w:lvl w:ilvl="1">
      <w:start w:val="1"/>
      <w:numFmt w:val="decimal"/>
      <w:pStyle w:val="StyleMaintextGillSansMT"/>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E10754F"/>
    <w:multiLevelType w:val="multilevel"/>
    <w:tmpl w:val="A502B9AE"/>
    <w:lvl w:ilvl="0">
      <w:start w:val="1"/>
      <w:numFmt w:val="decimal"/>
      <w:lvlText w:val="%1.1"/>
      <w:lvlJc w:val="left"/>
      <w:pPr>
        <w:tabs>
          <w:tab w:val="num" w:pos="432"/>
        </w:tabs>
        <w:ind w:left="432" w:hanging="432"/>
      </w:pPr>
      <w:rPr>
        <w:rFonts w:hint="default"/>
      </w:rPr>
    </w:lvl>
    <w:lvl w:ilvl="1">
      <w:start w:val="1"/>
      <w:numFmt w:val="decimal"/>
      <w:pStyle w:val="BodyCopy"/>
      <w:lvlText w:val="%2%1.0"/>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73240A"/>
    <w:multiLevelType w:val="multilevel"/>
    <w:tmpl w:val="CC240856"/>
    <w:lvl w:ilvl="0">
      <w:start w:val="1"/>
      <w:numFmt w:val="decimal"/>
      <w:lvlText w:val="%1.0"/>
      <w:lvlJc w:val="left"/>
      <w:pPr>
        <w:tabs>
          <w:tab w:val="num" w:pos="709"/>
        </w:tabs>
        <w:ind w:left="709" w:hanging="709"/>
      </w:pPr>
      <w:rPr>
        <w:rFonts w:hint="default"/>
      </w:rPr>
    </w:lvl>
    <w:lvl w:ilvl="1">
      <w:start w:val="1"/>
      <w:numFmt w:val="decimal"/>
      <w:pStyle w:val="StyleMaintextJustified1"/>
      <w:lvlText w:val="%1.%2"/>
      <w:lvlJc w:val="left"/>
      <w:pPr>
        <w:tabs>
          <w:tab w:val="num" w:pos="709"/>
        </w:tabs>
        <w:ind w:left="709" w:hanging="709"/>
      </w:pPr>
      <w:rPr>
        <w:rFonts w:hint="default"/>
      </w:rPr>
    </w:lvl>
    <w:lvl w:ilvl="2">
      <w:start w:val="1"/>
      <w:numFmt w:val="bullet"/>
      <w:lvlText w:val=""/>
      <w:lvlJc w:val="left"/>
      <w:pPr>
        <w:tabs>
          <w:tab w:val="num" w:pos="992"/>
        </w:tabs>
        <w:ind w:left="992" w:hanging="283"/>
      </w:pPr>
      <w:rPr>
        <w:rFonts w:ascii="Symbol" w:hAnsi="Symbol" w:hint="default"/>
      </w:rPr>
    </w:lvl>
    <w:lvl w:ilvl="3">
      <w:start w:val="1"/>
      <w:numFmt w:val="bullet"/>
      <w:lvlText w:val=""/>
      <w:lvlJc w:val="left"/>
      <w:pPr>
        <w:tabs>
          <w:tab w:val="num" w:pos="1134"/>
        </w:tabs>
        <w:ind w:left="1134" w:hanging="142"/>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A9A2144"/>
    <w:multiLevelType w:val="hybridMultilevel"/>
    <w:tmpl w:val="DCEA7F1A"/>
    <w:lvl w:ilvl="0" w:tplc="D4CAE75A">
      <w:start w:val="1"/>
      <w:numFmt w:val="bullet"/>
      <w:pStyle w:val="bullets"/>
      <w:lvlText w:val=""/>
      <w:lvlJc w:val="left"/>
      <w:pPr>
        <w:tabs>
          <w:tab w:val="num" w:pos="720"/>
        </w:tabs>
        <w:ind w:left="720" w:hanging="360"/>
      </w:pPr>
      <w:rPr>
        <w:rFonts w:ascii="Symbol" w:hAnsi="Symbol" w:hint="default"/>
      </w:rPr>
    </w:lvl>
    <w:lvl w:ilvl="1" w:tplc="06CE577C" w:tentative="1">
      <w:start w:val="1"/>
      <w:numFmt w:val="bullet"/>
      <w:lvlText w:val="o"/>
      <w:lvlJc w:val="left"/>
      <w:pPr>
        <w:tabs>
          <w:tab w:val="num" w:pos="1440"/>
        </w:tabs>
        <w:ind w:left="1440" w:hanging="360"/>
      </w:pPr>
      <w:rPr>
        <w:rFonts w:ascii="Courier New" w:hAnsi="Courier New" w:cs="Courier New" w:hint="default"/>
      </w:rPr>
    </w:lvl>
    <w:lvl w:ilvl="2" w:tplc="C9B4BB2A" w:tentative="1">
      <w:start w:val="1"/>
      <w:numFmt w:val="bullet"/>
      <w:lvlText w:val=""/>
      <w:lvlJc w:val="left"/>
      <w:pPr>
        <w:tabs>
          <w:tab w:val="num" w:pos="2160"/>
        </w:tabs>
        <w:ind w:left="2160" w:hanging="360"/>
      </w:pPr>
      <w:rPr>
        <w:rFonts w:ascii="Wingdings" w:hAnsi="Wingdings" w:hint="default"/>
      </w:rPr>
    </w:lvl>
    <w:lvl w:ilvl="3" w:tplc="EB18ABFA" w:tentative="1">
      <w:start w:val="1"/>
      <w:numFmt w:val="bullet"/>
      <w:lvlText w:val=""/>
      <w:lvlJc w:val="left"/>
      <w:pPr>
        <w:tabs>
          <w:tab w:val="num" w:pos="2880"/>
        </w:tabs>
        <w:ind w:left="2880" w:hanging="360"/>
      </w:pPr>
      <w:rPr>
        <w:rFonts w:ascii="Symbol" w:hAnsi="Symbol" w:hint="default"/>
      </w:rPr>
    </w:lvl>
    <w:lvl w:ilvl="4" w:tplc="40069FB6" w:tentative="1">
      <w:start w:val="1"/>
      <w:numFmt w:val="bullet"/>
      <w:lvlText w:val="o"/>
      <w:lvlJc w:val="left"/>
      <w:pPr>
        <w:tabs>
          <w:tab w:val="num" w:pos="3600"/>
        </w:tabs>
        <w:ind w:left="3600" w:hanging="360"/>
      </w:pPr>
      <w:rPr>
        <w:rFonts w:ascii="Courier New" w:hAnsi="Courier New" w:cs="Courier New" w:hint="default"/>
      </w:rPr>
    </w:lvl>
    <w:lvl w:ilvl="5" w:tplc="7EDA19AA" w:tentative="1">
      <w:start w:val="1"/>
      <w:numFmt w:val="bullet"/>
      <w:lvlText w:val=""/>
      <w:lvlJc w:val="left"/>
      <w:pPr>
        <w:tabs>
          <w:tab w:val="num" w:pos="4320"/>
        </w:tabs>
        <w:ind w:left="4320" w:hanging="360"/>
      </w:pPr>
      <w:rPr>
        <w:rFonts w:ascii="Wingdings" w:hAnsi="Wingdings" w:hint="default"/>
      </w:rPr>
    </w:lvl>
    <w:lvl w:ilvl="6" w:tplc="DC80B8F8" w:tentative="1">
      <w:start w:val="1"/>
      <w:numFmt w:val="bullet"/>
      <w:lvlText w:val=""/>
      <w:lvlJc w:val="left"/>
      <w:pPr>
        <w:tabs>
          <w:tab w:val="num" w:pos="5040"/>
        </w:tabs>
        <w:ind w:left="5040" w:hanging="360"/>
      </w:pPr>
      <w:rPr>
        <w:rFonts w:ascii="Symbol" w:hAnsi="Symbol" w:hint="default"/>
      </w:rPr>
    </w:lvl>
    <w:lvl w:ilvl="7" w:tplc="B7049C24" w:tentative="1">
      <w:start w:val="1"/>
      <w:numFmt w:val="bullet"/>
      <w:lvlText w:val="o"/>
      <w:lvlJc w:val="left"/>
      <w:pPr>
        <w:tabs>
          <w:tab w:val="num" w:pos="5760"/>
        </w:tabs>
        <w:ind w:left="5760" w:hanging="360"/>
      </w:pPr>
      <w:rPr>
        <w:rFonts w:ascii="Courier New" w:hAnsi="Courier New" w:cs="Courier New" w:hint="default"/>
      </w:rPr>
    </w:lvl>
    <w:lvl w:ilvl="8" w:tplc="7C8814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4A96BA7"/>
    <w:multiLevelType w:val="multilevel"/>
    <w:tmpl w:val="7D8E2DD2"/>
    <w:lvl w:ilvl="0">
      <w:start w:val="1"/>
      <w:numFmt w:val="upperLetter"/>
      <w:lvlText w:val="%1.0"/>
      <w:lvlJc w:val="left"/>
      <w:pPr>
        <w:tabs>
          <w:tab w:val="num" w:pos="709"/>
        </w:tabs>
        <w:ind w:left="709" w:hanging="709"/>
      </w:pPr>
      <w:rPr>
        <w:rFonts w:cs="Times New Roman" w:hint="default"/>
      </w:rPr>
    </w:lvl>
    <w:lvl w:ilvl="1">
      <w:start w:val="1"/>
      <w:numFmt w:val="decimal"/>
      <w:lvlText w:val="B.%2"/>
      <w:lvlJc w:val="left"/>
      <w:pPr>
        <w:tabs>
          <w:tab w:val="num" w:pos="709"/>
        </w:tabs>
        <w:ind w:left="709" w:hanging="709"/>
      </w:pPr>
      <w:rPr>
        <w:rFonts w:ascii="Arial" w:hAnsi="Arial" w:cs="Times New Roman" w:hint="default"/>
        <w:b w:val="0"/>
        <w:i w:val="0"/>
        <w:color w:val="auto"/>
        <w:sz w:val="24"/>
      </w:rPr>
    </w:lvl>
    <w:lvl w:ilvl="2">
      <w:start w:val="1"/>
      <w:numFmt w:val="bullet"/>
      <w:lvlText w:val=""/>
      <w:lvlJc w:val="left"/>
      <w:pPr>
        <w:tabs>
          <w:tab w:val="num" w:pos="992"/>
        </w:tabs>
        <w:ind w:left="992" w:hanging="283"/>
      </w:pPr>
      <w:rPr>
        <w:rFonts w:ascii="Symbol" w:hAnsi="Symbol" w:hint="default"/>
      </w:rPr>
    </w:lvl>
    <w:lvl w:ilvl="3">
      <w:start w:val="1"/>
      <w:numFmt w:val="bullet"/>
      <w:lvlText w:val=""/>
      <w:lvlJc w:val="left"/>
      <w:pPr>
        <w:tabs>
          <w:tab w:val="num" w:pos="1276"/>
        </w:tabs>
        <w:ind w:left="1276" w:hanging="284"/>
      </w:pPr>
      <w:rPr>
        <w:rFonts w:ascii="Symbol" w:hAnsi="Symbol" w:hint="default"/>
      </w:rPr>
    </w:lvl>
    <w:lvl w:ilvl="4">
      <w:start w:val="1"/>
      <w:numFmt w:val="decimal"/>
      <w:lvlText w:val="%1.%2.%5"/>
      <w:lvlJc w:val="left"/>
      <w:pPr>
        <w:tabs>
          <w:tab w:val="num" w:pos="1418"/>
        </w:tabs>
        <w:ind w:left="1418" w:hanging="709"/>
      </w:pPr>
      <w:rPr>
        <w:rFonts w:cs="Times New Roman" w:hint="default"/>
      </w:rPr>
    </w:lvl>
    <w:lvl w:ilvl="5">
      <w:start w:val="1"/>
      <w:numFmt w:val="bullet"/>
      <w:lvlText w:val=""/>
      <w:lvlJc w:val="left"/>
      <w:pPr>
        <w:tabs>
          <w:tab w:val="num" w:pos="1701"/>
        </w:tabs>
        <w:ind w:left="1701" w:hanging="283"/>
      </w:pPr>
      <w:rPr>
        <w:rFonts w:ascii="Symbol" w:hAnsi="Symbol"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8AB2CCA"/>
    <w:multiLevelType w:val="hybridMultilevel"/>
    <w:tmpl w:val="0E486536"/>
    <w:lvl w:ilvl="0" w:tplc="2014E4FE">
      <w:start w:val="1"/>
      <w:numFmt w:val="decimal"/>
      <w:pStyle w:val="3bullet"/>
      <w:lvlText w:val="%1."/>
      <w:lvlJc w:val="left"/>
      <w:pPr>
        <w:tabs>
          <w:tab w:val="num" w:pos="928"/>
        </w:tabs>
        <w:ind w:left="928" w:hanging="360"/>
      </w:pPr>
      <w:rPr>
        <w:rFonts w:ascii="Arial" w:hAnsi="Arial" w:hint="default"/>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C5567B"/>
    <w:multiLevelType w:val="hybridMultilevel"/>
    <w:tmpl w:val="AD0C499A"/>
    <w:lvl w:ilvl="0" w:tplc="B67414FE">
      <w:start w:val="1"/>
      <w:numFmt w:val="lowerLetter"/>
      <w:pStyle w:val="abullet"/>
      <w:lvlText w:val="%1."/>
      <w:lvlJc w:val="left"/>
      <w:pPr>
        <w:tabs>
          <w:tab w:val="num" w:pos="688"/>
        </w:tabs>
        <w:ind w:left="688" w:hanging="405"/>
      </w:pPr>
      <w:rPr>
        <w:rFonts w:hint="default"/>
        <w:sz w:val="28"/>
        <w:szCs w:val="28"/>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6" w15:restartNumberingAfterBreak="0">
    <w:nsid w:val="6DFC2DF0"/>
    <w:multiLevelType w:val="multilevel"/>
    <w:tmpl w:val="A836AF1A"/>
    <w:lvl w:ilvl="0">
      <w:start w:val="1"/>
      <w:numFmt w:val="upperLetter"/>
      <w:lvlText w:val="%1.0"/>
      <w:lvlJc w:val="left"/>
      <w:pPr>
        <w:tabs>
          <w:tab w:val="num" w:pos="709"/>
        </w:tabs>
        <w:ind w:left="709" w:hanging="709"/>
      </w:pPr>
      <w:rPr>
        <w:rFonts w:cs="Times New Roman" w:hint="default"/>
      </w:rPr>
    </w:lvl>
    <w:lvl w:ilvl="1">
      <w:start w:val="1"/>
      <w:numFmt w:val="decimal"/>
      <w:lvlText w:val="B.%2"/>
      <w:lvlJc w:val="left"/>
      <w:pPr>
        <w:tabs>
          <w:tab w:val="num" w:pos="709"/>
        </w:tabs>
        <w:ind w:left="709" w:hanging="709"/>
      </w:pPr>
      <w:rPr>
        <w:rFonts w:ascii="Arial" w:hAnsi="Arial" w:cs="Times New Roman" w:hint="default"/>
        <w:b w:val="0"/>
        <w:i w:val="0"/>
        <w:color w:val="auto"/>
        <w:sz w:val="22"/>
        <w:szCs w:val="22"/>
      </w:rPr>
    </w:lvl>
    <w:lvl w:ilvl="2">
      <w:start w:val="1"/>
      <w:numFmt w:val="bullet"/>
      <w:lvlText w:val=""/>
      <w:lvlJc w:val="left"/>
      <w:pPr>
        <w:tabs>
          <w:tab w:val="num" w:pos="992"/>
        </w:tabs>
        <w:ind w:left="992" w:hanging="283"/>
      </w:pPr>
      <w:rPr>
        <w:rFonts w:ascii="Symbol" w:hAnsi="Symbol" w:hint="default"/>
      </w:rPr>
    </w:lvl>
    <w:lvl w:ilvl="3">
      <w:start w:val="1"/>
      <w:numFmt w:val="bullet"/>
      <w:lvlText w:val=""/>
      <w:lvlJc w:val="left"/>
      <w:pPr>
        <w:tabs>
          <w:tab w:val="num" w:pos="1276"/>
        </w:tabs>
        <w:ind w:left="1276" w:hanging="284"/>
      </w:pPr>
      <w:rPr>
        <w:rFonts w:ascii="Symbol" w:hAnsi="Symbol" w:hint="default"/>
      </w:rPr>
    </w:lvl>
    <w:lvl w:ilvl="4">
      <w:start w:val="1"/>
      <w:numFmt w:val="decimal"/>
      <w:lvlText w:val="%1.%2.%5"/>
      <w:lvlJc w:val="left"/>
      <w:pPr>
        <w:tabs>
          <w:tab w:val="num" w:pos="1418"/>
        </w:tabs>
        <w:ind w:left="1418" w:hanging="709"/>
      </w:pPr>
      <w:rPr>
        <w:rFonts w:cs="Times New Roman" w:hint="default"/>
      </w:rPr>
    </w:lvl>
    <w:lvl w:ilvl="5">
      <w:start w:val="1"/>
      <w:numFmt w:val="bullet"/>
      <w:lvlText w:val=""/>
      <w:lvlJc w:val="left"/>
      <w:pPr>
        <w:tabs>
          <w:tab w:val="num" w:pos="1701"/>
        </w:tabs>
        <w:ind w:left="1701" w:hanging="283"/>
      </w:pPr>
      <w:rPr>
        <w:rFonts w:ascii="Symbol" w:hAnsi="Symbol"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F281C8E"/>
    <w:multiLevelType w:val="multilevel"/>
    <w:tmpl w:val="E9867CDC"/>
    <w:lvl w:ilvl="0">
      <w:start w:val="1"/>
      <w:numFmt w:val="decimal"/>
      <w:lvlText w:val="%1."/>
      <w:lvlJc w:val="left"/>
      <w:pPr>
        <w:ind w:left="709" w:hanging="709"/>
      </w:pPr>
      <w:rPr>
        <w:rFonts w:ascii="Arial" w:hAnsi="Arial" w:hint="default"/>
        <w:color w:val="0070C0"/>
        <w:sz w:val="40"/>
      </w:rPr>
    </w:lvl>
    <w:lvl w:ilvl="1">
      <w:start w:val="1"/>
      <w:numFmt w:val="decimal"/>
      <w:lvlText w:val="%1.%2"/>
      <w:lvlJc w:val="left"/>
      <w:pPr>
        <w:ind w:left="709" w:hanging="709"/>
      </w:pPr>
      <w:rPr>
        <w:rFonts w:ascii="Arial" w:hAnsi="Arial" w:hint="default"/>
        <w:color w:val="auto"/>
        <w:sz w:val="22"/>
      </w:rPr>
    </w:lvl>
    <w:lvl w:ilvl="2">
      <w:start w:val="1"/>
      <w:numFmt w:val="lowerRoman"/>
      <w:lvlText w:val="%3."/>
      <w:lvlJc w:val="righ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28" w15:restartNumberingAfterBreak="0">
    <w:nsid w:val="708455A7"/>
    <w:multiLevelType w:val="multilevel"/>
    <w:tmpl w:val="A308EC7C"/>
    <w:lvl w:ilvl="0">
      <w:start w:val="1"/>
      <w:numFmt w:val="decimal"/>
      <w:lvlText w:val="%1."/>
      <w:lvlJc w:val="left"/>
      <w:pPr>
        <w:ind w:left="360" w:hanging="360"/>
      </w:pPr>
      <w:rPr>
        <w:rFonts w:ascii="Arial" w:hAnsi="Arial" w:hint="default"/>
        <w:b w:val="0"/>
        <w:i w:val="0"/>
        <w:color w:val="0070C0"/>
        <w:sz w:val="36"/>
      </w:rPr>
    </w:lvl>
    <w:lvl w:ilvl="1">
      <w:start w:val="1"/>
      <w:numFmt w:val="decimal"/>
      <w:pStyle w:val="Maintext"/>
      <w:lvlText w:val="%1.%2"/>
      <w:lvlJc w:val="left"/>
      <w:pPr>
        <w:tabs>
          <w:tab w:val="num" w:pos="993"/>
        </w:tabs>
        <w:ind w:left="993" w:hanging="709"/>
      </w:pPr>
      <w:rPr>
        <w:rFonts w:ascii="Arial" w:hAnsi="Arial" w:cs="Arial" w:hint="default"/>
        <w:b w:val="0"/>
        <w:i w:val="0"/>
        <w:color w:val="auto"/>
        <w:sz w:val="24"/>
        <w:szCs w:val="24"/>
      </w:rPr>
    </w:lvl>
    <w:lvl w:ilvl="2">
      <w:start w:val="1"/>
      <w:numFmt w:val="bullet"/>
      <w:lvlText w:val=""/>
      <w:lvlJc w:val="left"/>
      <w:pPr>
        <w:tabs>
          <w:tab w:val="num" w:pos="992"/>
        </w:tabs>
        <w:ind w:left="992" w:hanging="283"/>
      </w:pPr>
      <w:rPr>
        <w:rFonts w:ascii="Symbol" w:hAnsi="Symbol" w:hint="default"/>
        <w:color w:val="auto"/>
      </w:rPr>
    </w:lvl>
    <w:lvl w:ilvl="3">
      <w:start w:val="1"/>
      <w:numFmt w:val="bullet"/>
      <w:lvlText w:val=""/>
      <w:lvlJc w:val="left"/>
      <w:pPr>
        <w:tabs>
          <w:tab w:val="num" w:pos="1276"/>
        </w:tabs>
        <w:ind w:left="1276" w:hanging="284"/>
      </w:pPr>
      <w:rPr>
        <w:rFonts w:ascii="Symbol" w:hAnsi="Symbol"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B0C58AD"/>
    <w:multiLevelType w:val="hybridMultilevel"/>
    <w:tmpl w:val="A9F0088C"/>
    <w:lvl w:ilvl="0" w:tplc="4098902E">
      <w:start w:val="1"/>
      <w:numFmt w:val="decimal"/>
      <w:pStyle w:val="GTTAquestionno"/>
      <w:lvlText w:val="Q%1"/>
      <w:lvlJc w:val="left"/>
      <w:pPr>
        <w:ind w:left="567" w:hanging="567"/>
      </w:pPr>
      <w:rPr>
        <w:rFonts w:hint="default"/>
        <w:b w:val="0"/>
        <w:i/>
        <w:color w:val="0099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214467"/>
    <w:multiLevelType w:val="hybridMultilevel"/>
    <w:tmpl w:val="4B4C0542"/>
    <w:lvl w:ilvl="0" w:tplc="D89C977E">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C41C69"/>
    <w:multiLevelType w:val="hybridMultilevel"/>
    <w:tmpl w:val="C75EDF7A"/>
    <w:lvl w:ilvl="0" w:tplc="F9B68564">
      <w:start w:val="1"/>
      <w:numFmt w:val="decimal"/>
      <w:lvlText w:val="%1."/>
      <w:lvlJc w:val="left"/>
      <w:pPr>
        <w:tabs>
          <w:tab w:val="num" w:pos="720"/>
        </w:tabs>
        <w:ind w:left="720" w:hanging="360"/>
      </w:p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pStyle w:val="bullet20"/>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0"/>
  </w:num>
  <w:num w:numId="4">
    <w:abstractNumId w:val="18"/>
  </w:num>
  <w:num w:numId="5">
    <w:abstractNumId w:val="20"/>
  </w:num>
  <w:num w:numId="6">
    <w:abstractNumId w:val="14"/>
  </w:num>
  <w:num w:numId="7">
    <w:abstractNumId w:val="21"/>
  </w:num>
  <w:num w:numId="8">
    <w:abstractNumId w:val="25"/>
  </w:num>
  <w:num w:numId="9">
    <w:abstractNumId w:val="2"/>
  </w:num>
  <w:num w:numId="10">
    <w:abstractNumId w:val="28"/>
  </w:num>
  <w:num w:numId="11">
    <w:abstractNumId w:val="24"/>
  </w:num>
  <w:num w:numId="12">
    <w:abstractNumId w:val="31"/>
  </w:num>
  <w:num w:numId="13">
    <w:abstractNumId w:val="22"/>
  </w:num>
  <w:num w:numId="14">
    <w:abstractNumId w:val="1"/>
  </w:num>
  <w:num w:numId="15">
    <w:abstractNumId w:val="11"/>
  </w:num>
  <w:num w:numId="16">
    <w:abstractNumId w:val="17"/>
  </w:num>
  <w:num w:numId="17">
    <w:abstractNumId w:val="6"/>
  </w:num>
  <w:num w:numId="18">
    <w:abstractNumId w:val="1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3"/>
    <w:lvlOverride w:ilvl="0">
      <w:lvl w:ilvl="0">
        <w:start w:val="1"/>
        <w:numFmt w:val="upperLetter"/>
        <w:lvlText w:val="%1.0"/>
        <w:lvlJc w:val="left"/>
        <w:pPr>
          <w:tabs>
            <w:tab w:val="num" w:pos="709"/>
          </w:tabs>
          <w:ind w:left="709" w:hanging="709"/>
        </w:pPr>
        <w:rPr>
          <w:rFonts w:cs="Times New Roman" w:hint="default"/>
        </w:rPr>
      </w:lvl>
    </w:lvlOverride>
    <w:lvlOverride w:ilvl="1">
      <w:lvl w:ilvl="1">
        <w:start w:val="1"/>
        <w:numFmt w:val="decimal"/>
        <w:lvlText w:val="A.%2"/>
        <w:lvlJc w:val="left"/>
        <w:pPr>
          <w:tabs>
            <w:tab w:val="num" w:pos="709"/>
          </w:tabs>
          <w:ind w:left="709" w:hanging="709"/>
        </w:pPr>
        <w:rPr>
          <w:rFonts w:ascii="Calibri" w:hAnsi="Calibri" w:cs="Times New Roman" w:hint="default"/>
          <w:b w:val="0"/>
          <w:i w:val="0"/>
          <w:color w:val="auto"/>
          <w:sz w:val="22"/>
          <w:szCs w:val="22"/>
        </w:rPr>
      </w:lvl>
    </w:lvlOverride>
    <w:lvlOverride w:ilvl="2">
      <w:lvl w:ilvl="2">
        <w:start w:val="1"/>
        <w:numFmt w:val="bullet"/>
        <w:lvlText w:val=""/>
        <w:lvlJc w:val="left"/>
        <w:pPr>
          <w:tabs>
            <w:tab w:val="num" w:pos="992"/>
          </w:tabs>
          <w:ind w:left="992" w:hanging="283"/>
        </w:pPr>
        <w:rPr>
          <w:rFonts w:ascii="Symbol" w:hAnsi="Symbol" w:hint="default"/>
        </w:rPr>
      </w:lvl>
    </w:lvlOverride>
    <w:lvlOverride w:ilvl="3">
      <w:lvl w:ilvl="3">
        <w:start w:val="1"/>
        <w:numFmt w:val="bullet"/>
        <w:lvlText w:val=""/>
        <w:lvlJc w:val="left"/>
        <w:pPr>
          <w:tabs>
            <w:tab w:val="num" w:pos="1276"/>
          </w:tabs>
          <w:ind w:left="1276" w:hanging="284"/>
        </w:pPr>
        <w:rPr>
          <w:rFonts w:ascii="Symbol" w:hAnsi="Symbol" w:hint="default"/>
        </w:rPr>
      </w:lvl>
    </w:lvlOverride>
    <w:lvlOverride w:ilvl="4">
      <w:lvl w:ilvl="4">
        <w:start w:val="1"/>
        <w:numFmt w:val="decimal"/>
        <w:lvlText w:val="%1.%2.%5"/>
        <w:lvlJc w:val="left"/>
        <w:pPr>
          <w:tabs>
            <w:tab w:val="num" w:pos="1418"/>
          </w:tabs>
          <w:ind w:left="1418" w:hanging="709"/>
        </w:pPr>
        <w:rPr>
          <w:rFonts w:cs="Times New Roman" w:hint="default"/>
        </w:rPr>
      </w:lvl>
    </w:lvlOverride>
    <w:lvlOverride w:ilvl="5">
      <w:lvl w:ilvl="5">
        <w:start w:val="1"/>
        <w:numFmt w:val="bullet"/>
        <w:lvlText w:val=""/>
        <w:lvlJc w:val="left"/>
        <w:pPr>
          <w:tabs>
            <w:tab w:val="num" w:pos="1701"/>
          </w:tabs>
          <w:ind w:left="1701" w:hanging="283"/>
        </w:pPr>
        <w:rPr>
          <w:rFonts w:ascii="Symbol" w:hAnsi="Symbol"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1">
    <w:abstractNumId w:val="29"/>
  </w:num>
  <w:num w:numId="22">
    <w:abstractNumId w:val="26"/>
    <w:lvlOverride w:ilvl="0">
      <w:lvl w:ilvl="0">
        <w:start w:val="1"/>
        <w:numFmt w:val="upperLetter"/>
        <w:lvlText w:val="%1.0"/>
        <w:lvlJc w:val="left"/>
        <w:pPr>
          <w:tabs>
            <w:tab w:val="num" w:pos="709"/>
          </w:tabs>
          <w:ind w:left="709" w:hanging="709"/>
        </w:pPr>
        <w:rPr>
          <w:rFonts w:cs="Times New Roman" w:hint="default"/>
        </w:rPr>
      </w:lvl>
    </w:lvlOverride>
    <w:lvlOverride w:ilvl="1">
      <w:lvl w:ilvl="1">
        <w:start w:val="1"/>
        <w:numFmt w:val="decimal"/>
        <w:lvlText w:val="B.%2"/>
        <w:lvlJc w:val="left"/>
        <w:pPr>
          <w:tabs>
            <w:tab w:val="num" w:pos="709"/>
          </w:tabs>
          <w:ind w:left="709" w:hanging="709"/>
        </w:pPr>
        <w:rPr>
          <w:rFonts w:ascii="Calibri" w:hAnsi="Calibri" w:cs="Times New Roman" w:hint="default"/>
          <w:b w:val="0"/>
          <w:i w:val="0"/>
          <w:color w:val="auto"/>
          <w:sz w:val="22"/>
          <w:szCs w:val="22"/>
        </w:rPr>
      </w:lvl>
    </w:lvlOverride>
    <w:lvlOverride w:ilvl="2">
      <w:lvl w:ilvl="2">
        <w:start w:val="1"/>
        <w:numFmt w:val="bullet"/>
        <w:lvlText w:val=""/>
        <w:lvlJc w:val="left"/>
        <w:pPr>
          <w:tabs>
            <w:tab w:val="num" w:pos="992"/>
          </w:tabs>
          <w:ind w:left="992" w:hanging="283"/>
        </w:pPr>
        <w:rPr>
          <w:rFonts w:ascii="Symbol" w:hAnsi="Symbol" w:hint="default"/>
        </w:rPr>
      </w:lvl>
    </w:lvlOverride>
    <w:lvlOverride w:ilvl="3">
      <w:lvl w:ilvl="3">
        <w:start w:val="1"/>
        <w:numFmt w:val="bullet"/>
        <w:lvlText w:val=""/>
        <w:lvlJc w:val="left"/>
        <w:pPr>
          <w:tabs>
            <w:tab w:val="num" w:pos="1276"/>
          </w:tabs>
          <w:ind w:left="1276" w:hanging="284"/>
        </w:pPr>
        <w:rPr>
          <w:rFonts w:ascii="Symbol" w:hAnsi="Symbol" w:hint="default"/>
        </w:rPr>
      </w:lvl>
    </w:lvlOverride>
    <w:lvlOverride w:ilvl="4">
      <w:lvl w:ilvl="4">
        <w:start w:val="1"/>
        <w:numFmt w:val="decimal"/>
        <w:lvlText w:val="%1.%2.%5"/>
        <w:lvlJc w:val="left"/>
        <w:pPr>
          <w:tabs>
            <w:tab w:val="num" w:pos="1418"/>
          </w:tabs>
          <w:ind w:left="1418" w:hanging="709"/>
        </w:pPr>
        <w:rPr>
          <w:rFonts w:cs="Times New Roman" w:hint="default"/>
        </w:rPr>
      </w:lvl>
    </w:lvlOverride>
    <w:lvlOverride w:ilvl="5">
      <w:lvl w:ilvl="5">
        <w:start w:val="1"/>
        <w:numFmt w:val="bullet"/>
        <w:lvlText w:val=""/>
        <w:lvlJc w:val="left"/>
        <w:pPr>
          <w:tabs>
            <w:tab w:val="num" w:pos="1701"/>
          </w:tabs>
          <w:ind w:left="1701" w:hanging="283"/>
        </w:pPr>
        <w:rPr>
          <w:rFonts w:ascii="Symbol" w:hAnsi="Symbol"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3">
    <w:abstractNumId w:val="27"/>
    <w:lvlOverride w:ilvl="0">
      <w:lvl w:ilvl="0">
        <w:start w:val="1"/>
        <w:numFmt w:val="decimal"/>
        <w:lvlText w:val="%1."/>
        <w:lvlJc w:val="left"/>
        <w:pPr>
          <w:ind w:left="709" w:hanging="709"/>
        </w:pPr>
        <w:rPr>
          <w:rFonts w:ascii="Calibri" w:hAnsi="Calibri" w:hint="default"/>
          <w:color w:val="009999"/>
          <w:sz w:val="40"/>
        </w:rPr>
      </w:lvl>
    </w:lvlOverride>
    <w:lvlOverride w:ilvl="1">
      <w:lvl w:ilvl="1">
        <w:start w:val="1"/>
        <w:numFmt w:val="decimal"/>
        <w:lvlText w:val="%1.%2"/>
        <w:lvlJc w:val="left"/>
        <w:pPr>
          <w:ind w:left="709" w:hanging="709"/>
        </w:pPr>
        <w:rPr>
          <w:rFonts w:ascii="Calibri" w:hAnsi="Calibri" w:cstheme="minorHAnsi" w:hint="default"/>
          <w:color w:val="auto"/>
          <w:sz w:val="22"/>
          <w:szCs w:val="24"/>
        </w:rPr>
      </w:lvl>
    </w:lvlOverride>
    <w:lvlOverride w:ilvl="2">
      <w:lvl w:ilvl="2">
        <w:start w:val="1"/>
        <w:numFmt w:val="lowerRoman"/>
        <w:lvlText w:val="%3."/>
        <w:lvlJc w:val="righ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24">
    <w:abstractNumId w:val="12"/>
  </w:num>
  <w:num w:numId="25">
    <w:abstractNumId w:val="3"/>
  </w:num>
  <w:num w:numId="26">
    <w:abstractNumId w:val="5"/>
  </w:num>
  <w:num w:numId="27">
    <w:abstractNumId w:val="9"/>
  </w:num>
  <w:num w:numId="28">
    <w:abstractNumId w:val="16"/>
  </w:num>
  <w:num w:numId="29">
    <w:abstractNumId w:val="13"/>
  </w:num>
  <w:num w:numId="30">
    <w:abstractNumId w:val="8"/>
  </w:num>
  <w:num w:numId="31">
    <w:abstractNumId w:val="3"/>
  </w:num>
  <w:num w:numId="32">
    <w:abstractNumId w:val="7"/>
  </w:num>
  <w:num w:numId="33">
    <w:abstractNumId w:val="3"/>
  </w:num>
  <w:num w:numId="34">
    <w:abstractNumId w:val="3"/>
  </w:num>
  <w:num w:numId="35">
    <w:abstractNumId w:val="3"/>
  </w:num>
  <w:num w:numId="36">
    <w:abstractNumId w:val="3"/>
  </w:num>
  <w:num w:numId="37">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D7"/>
    <w:rsid w:val="0000042F"/>
    <w:rsid w:val="00000C14"/>
    <w:rsid w:val="00000D5D"/>
    <w:rsid w:val="00000F24"/>
    <w:rsid w:val="000016E7"/>
    <w:rsid w:val="00001926"/>
    <w:rsid w:val="00001F45"/>
    <w:rsid w:val="00002E31"/>
    <w:rsid w:val="00002FD5"/>
    <w:rsid w:val="00003B8E"/>
    <w:rsid w:val="00004B23"/>
    <w:rsid w:val="00004CE2"/>
    <w:rsid w:val="00004F1C"/>
    <w:rsid w:val="0000567A"/>
    <w:rsid w:val="00005D6C"/>
    <w:rsid w:val="00006184"/>
    <w:rsid w:val="000065E9"/>
    <w:rsid w:val="00006B07"/>
    <w:rsid w:val="000072B1"/>
    <w:rsid w:val="0000753F"/>
    <w:rsid w:val="000075EE"/>
    <w:rsid w:val="00010251"/>
    <w:rsid w:val="00010653"/>
    <w:rsid w:val="0001098E"/>
    <w:rsid w:val="00010E25"/>
    <w:rsid w:val="000110E5"/>
    <w:rsid w:val="000113DB"/>
    <w:rsid w:val="00011890"/>
    <w:rsid w:val="000118A0"/>
    <w:rsid w:val="00012053"/>
    <w:rsid w:val="000121FE"/>
    <w:rsid w:val="000123FC"/>
    <w:rsid w:val="00012830"/>
    <w:rsid w:val="00012840"/>
    <w:rsid w:val="000128B9"/>
    <w:rsid w:val="0001292A"/>
    <w:rsid w:val="000135EE"/>
    <w:rsid w:val="0001471A"/>
    <w:rsid w:val="000149E6"/>
    <w:rsid w:val="000160F7"/>
    <w:rsid w:val="00016145"/>
    <w:rsid w:val="0001619C"/>
    <w:rsid w:val="00016F0E"/>
    <w:rsid w:val="000173C6"/>
    <w:rsid w:val="00017D63"/>
    <w:rsid w:val="00020CE6"/>
    <w:rsid w:val="00021C45"/>
    <w:rsid w:val="0002214D"/>
    <w:rsid w:val="000224C9"/>
    <w:rsid w:val="0002258B"/>
    <w:rsid w:val="00022A4C"/>
    <w:rsid w:val="00022E7A"/>
    <w:rsid w:val="0002352E"/>
    <w:rsid w:val="00023C75"/>
    <w:rsid w:val="00023D29"/>
    <w:rsid w:val="00023F7B"/>
    <w:rsid w:val="00024DDC"/>
    <w:rsid w:val="00024F2B"/>
    <w:rsid w:val="00025093"/>
    <w:rsid w:val="000250A2"/>
    <w:rsid w:val="000254B3"/>
    <w:rsid w:val="00025B0C"/>
    <w:rsid w:val="0002603E"/>
    <w:rsid w:val="000263B7"/>
    <w:rsid w:val="00026AE1"/>
    <w:rsid w:val="00027991"/>
    <w:rsid w:val="00027CD1"/>
    <w:rsid w:val="00027D0A"/>
    <w:rsid w:val="0003067A"/>
    <w:rsid w:val="000306A4"/>
    <w:rsid w:val="00030943"/>
    <w:rsid w:val="00030D18"/>
    <w:rsid w:val="0003192E"/>
    <w:rsid w:val="00031B12"/>
    <w:rsid w:val="00032034"/>
    <w:rsid w:val="00032776"/>
    <w:rsid w:val="00034387"/>
    <w:rsid w:val="0003441A"/>
    <w:rsid w:val="000347D4"/>
    <w:rsid w:val="00034C06"/>
    <w:rsid w:val="00034FC7"/>
    <w:rsid w:val="000356E7"/>
    <w:rsid w:val="00035C7F"/>
    <w:rsid w:val="000366C4"/>
    <w:rsid w:val="00036958"/>
    <w:rsid w:val="000379C8"/>
    <w:rsid w:val="00037A04"/>
    <w:rsid w:val="00037FE5"/>
    <w:rsid w:val="0004072A"/>
    <w:rsid w:val="00041416"/>
    <w:rsid w:val="0004154C"/>
    <w:rsid w:val="000417F8"/>
    <w:rsid w:val="00041B94"/>
    <w:rsid w:val="00042646"/>
    <w:rsid w:val="00042A94"/>
    <w:rsid w:val="00042E0E"/>
    <w:rsid w:val="00042F0B"/>
    <w:rsid w:val="00042F25"/>
    <w:rsid w:val="000430A7"/>
    <w:rsid w:val="00043C08"/>
    <w:rsid w:val="0004482F"/>
    <w:rsid w:val="0004493C"/>
    <w:rsid w:val="00044F26"/>
    <w:rsid w:val="00045212"/>
    <w:rsid w:val="000457B7"/>
    <w:rsid w:val="000459FB"/>
    <w:rsid w:val="00045ACB"/>
    <w:rsid w:val="00045B69"/>
    <w:rsid w:val="0004646E"/>
    <w:rsid w:val="00046E74"/>
    <w:rsid w:val="00047AB8"/>
    <w:rsid w:val="00047D91"/>
    <w:rsid w:val="00047F43"/>
    <w:rsid w:val="00050AFA"/>
    <w:rsid w:val="0005106E"/>
    <w:rsid w:val="00051A87"/>
    <w:rsid w:val="00051C16"/>
    <w:rsid w:val="00051D4B"/>
    <w:rsid w:val="000522A0"/>
    <w:rsid w:val="00052D13"/>
    <w:rsid w:val="00052F0A"/>
    <w:rsid w:val="00053453"/>
    <w:rsid w:val="00053B31"/>
    <w:rsid w:val="00053CD6"/>
    <w:rsid w:val="00053F14"/>
    <w:rsid w:val="0005403A"/>
    <w:rsid w:val="00054D73"/>
    <w:rsid w:val="00055494"/>
    <w:rsid w:val="00055A49"/>
    <w:rsid w:val="000565E7"/>
    <w:rsid w:val="000568ED"/>
    <w:rsid w:val="00056F2C"/>
    <w:rsid w:val="00057006"/>
    <w:rsid w:val="0005712F"/>
    <w:rsid w:val="00057750"/>
    <w:rsid w:val="000577EF"/>
    <w:rsid w:val="0005789A"/>
    <w:rsid w:val="00057DD8"/>
    <w:rsid w:val="0006029D"/>
    <w:rsid w:val="00060601"/>
    <w:rsid w:val="00060C96"/>
    <w:rsid w:val="00060F33"/>
    <w:rsid w:val="0006176C"/>
    <w:rsid w:val="00061808"/>
    <w:rsid w:val="00061D59"/>
    <w:rsid w:val="00062251"/>
    <w:rsid w:val="00062661"/>
    <w:rsid w:val="00062CC9"/>
    <w:rsid w:val="00063329"/>
    <w:rsid w:val="00063AFF"/>
    <w:rsid w:val="00063CE5"/>
    <w:rsid w:val="00063DAC"/>
    <w:rsid w:val="00063EFB"/>
    <w:rsid w:val="00064CE8"/>
    <w:rsid w:val="00066B92"/>
    <w:rsid w:val="00066EC2"/>
    <w:rsid w:val="00067678"/>
    <w:rsid w:val="000676DE"/>
    <w:rsid w:val="000679A0"/>
    <w:rsid w:val="00067DA3"/>
    <w:rsid w:val="00070382"/>
    <w:rsid w:val="00070417"/>
    <w:rsid w:val="00070598"/>
    <w:rsid w:val="00071036"/>
    <w:rsid w:val="000712D3"/>
    <w:rsid w:val="00071784"/>
    <w:rsid w:val="000717E8"/>
    <w:rsid w:val="00071A68"/>
    <w:rsid w:val="00071AD6"/>
    <w:rsid w:val="00071E0A"/>
    <w:rsid w:val="00072288"/>
    <w:rsid w:val="00072FE8"/>
    <w:rsid w:val="00073138"/>
    <w:rsid w:val="00073366"/>
    <w:rsid w:val="00073E24"/>
    <w:rsid w:val="00074772"/>
    <w:rsid w:val="00074A68"/>
    <w:rsid w:val="00074A7A"/>
    <w:rsid w:val="00074AA3"/>
    <w:rsid w:val="00075662"/>
    <w:rsid w:val="00075E75"/>
    <w:rsid w:val="000768A4"/>
    <w:rsid w:val="000775EB"/>
    <w:rsid w:val="00077788"/>
    <w:rsid w:val="00077794"/>
    <w:rsid w:val="00077E64"/>
    <w:rsid w:val="00077E67"/>
    <w:rsid w:val="00080402"/>
    <w:rsid w:val="0008046D"/>
    <w:rsid w:val="000810C9"/>
    <w:rsid w:val="000811FD"/>
    <w:rsid w:val="000811FE"/>
    <w:rsid w:val="00081FE7"/>
    <w:rsid w:val="000820F1"/>
    <w:rsid w:val="00082681"/>
    <w:rsid w:val="000829CD"/>
    <w:rsid w:val="00083199"/>
    <w:rsid w:val="00083E33"/>
    <w:rsid w:val="00084402"/>
    <w:rsid w:val="000844A4"/>
    <w:rsid w:val="000847E1"/>
    <w:rsid w:val="00084A36"/>
    <w:rsid w:val="00084BBA"/>
    <w:rsid w:val="00087918"/>
    <w:rsid w:val="00087B7D"/>
    <w:rsid w:val="00090B40"/>
    <w:rsid w:val="00090ED7"/>
    <w:rsid w:val="000929D2"/>
    <w:rsid w:val="00092F1E"/>
    <w:rsid w:val="00093570"/>
    <w:rsid w:val="00093D6E"/>
    <w:rsid w:val="00094681"/>
    <w:rsid w:val="0009480C"/>
    <w:rsid w:val="00094EAD"/>
    <w:rsid w:val="00095260"/>
    <w:rsid w:val="000960DF"/>
    <w:rsid w:val="000960E0"/>
    <w:rsid w:val="000962F0"/>
    <w:rsid w:val="00096C9A"/>
    <w:rsid w:val="000974F6"/>
    <w:rsid w:val="00097554"/>
    <w:rsid w:val="000A0345"/>
    <w:rsid w:val="000A06D4"/>
    <w:rsid w:val="000A08FE"/>
    <w:rsid w:val="000A0B62"/>
    <w:rsid w:val="000A0DBC"/>
    <w:rsid w:val="000A10B6"/>
    <w:rsid w:val="000A2149"/>
    <w:rsid w:val="000A26D6"/>
    <w:rsid w:val="000A3255"/>
    <w:rsid w:val="000A3FF2"/>
    <w:rsid w:val="000A4CA2"/>
    <w:rsid w:val="000A4FB1"/>
    <w:rsid w:val="000A51C6"/>
    <w:rsid w:val="000A5283"/>
    <w:rsid w:val="000A52D4"/>
    <w:rsid w:val="000A566F"/>
    <w:rsid w:val="000A5685"/>
    <w:rsid w:val="000A5DB7"/>
    <w:rsid w:val="000A6921"/>
    <w:rsid w:val="000A6D92"/>
    <w:rsid w:val="000A70F7"/>
    <w:rsid w:val="000A74A4"/>
    <w:rsid w:val="000B0724"/>
    <w:rsid w:val="000B0E29"/>
    <w:rsid w:val="000B14D6"/>
    <w:rsid w:val="000B1641"/>
    <w:rsid w:val="000B186B"/>
    <w:rsid w:val="000B1B43"/>
    <w:rsid w:val="000B1B90"/>
    <w:rsid w:val="000B1CFA"/>
    <w:rsid w:val="000B1EEB"/>
    <w:rsid w:val="000B25B0"/>
    <w:rsid w:val="000B2730"/>
    <w:rsid w:val="000B2A1A"/>
    <w:rsid w:val="000B2DB1"/>
    <w:rsid w:val="000B3CA9"/>
    <w:rsid w:val="000B3FF9"/>
    <w:rsid w:val="000B4068"/>
    <w:rsid w:val="000B40C0"/>
    <w:rsid w:val="000B421F"/>
    <w:rsid w:val="000B5179"/>
    <w:rsid w:val="000B5196"/>
    <w:rsid w:val="000B5646"/>
    <w:rsid w:val="000B564C"/>
    <w:rsid w:val="000B5D36"/>
    <w:rsid w:val="000B6769"/>
    <w:rsid w:val="000B6975"/>
    <w:rsid w:val="000B6A81"/>
    <w:rsid w:val="000B6D17"/>
    <w:rsid w:val="000B764E"/>
    <w:rsid w:val="000C0A49"/>
    <w:rsid w:val="000C0EC5"/>
    <w:rsid w:val="000C1216"/>
    <w:rsid w:val="000C1687"/>
    <w:rsid w:val="000C29DF"/>
    <w:rsid w:val="000C29F0"/>
    <w:rsid w:val="000C2B99"/>
    <w:rsid w:val="000C3598"/>
    <w:rsid w:val="000C3A10"/>
    <w:rsid w:val="000C3A56"/>
    <w:rsid w:val="000C3C41"/>
    <w:rsid w:val="000C3FDE"/>
    <w:rsid w:val="000C40B8"/>
    <w:rsid w:val="000C499F"/>
    <w:rsid w:val="000C4F39"/>
    <w:rsid w:val="000C50A3"/>
    <w:rsid w:val="000C5726"/>
    <w:rsid w:val="000C57BA"/>
    <w:rsid w:val="000C5CAD"/>
    <w:rsid w:val="000C621A"/>
    <w:rsid w:val="000C62CA"/>
    <w:rsid w:val="000C6383"/>
    <w:rsid w:val="000C6433"/>
    <w:rsid w:val="000C6F0A"/>
    <w:rsid w:val="000C76F1"/>
    <w:rsid w:val="000D0E07"/>
    <w:rsid w:val="000D0F35"/>
    <w:rsid w:val="000D161B"/>
    <w:rsid w:val="000D21DC"/>
    <w:rsid w:val="000D2D89"/>
    <w:rsid w:val="000D3AD0"/>
    <w:rsid w:val="000D4116"/>
    <w:rsid w:val="000D4314"/>
    <w:rsid w:val="000D442D"/>
    <w:rsid w:val="000D45C2"/>
    <w:rsid w:val="000D4AE9"/>
    <w:rsid w:val="000D4EBD"/>
    <w:rsid w:val="000D5168"/>
    <w:rsid w:val="000D566F"/>
    <w:rsid w:val="000D5688"/>
    <w:rsid w:val="000D5ACD"/>
    <w:rsid w:val="000D5BB8"/>
    <w:rsid w:val="000D5EC0"/>
    <w:rsid w:val="000D6741"/>
    <w:rsid w:val="000D6904"/>
    <w:rsid w:val="000D6E30"/>
    <w:rsid w:val="000D740D"/>
    <w:rsid w:val="000D7723"/>
    <w:rsid w:val="000D7A87"/>
    <w:rsid w:val="000D7CEC"/>
    <w:rsid w:val="000E0672"/>
    <w:rsid w:val="000E0BF7"/>
    <w:rsid w:val="000E110A"/>
    <w:rsid w:val="000E12BE"/>
    <w:rsid w:val="000E13DF"/>
    <w:rsid w:val="000E17EC"/>
    <w:rsid w:val="000E1A5A"/>
    <w:rsid w:val="000E231E"/>
    <w:rsid w:val="000E2F85"/>
    <w:rsid w:val="000E3227"/>
    <w:rsid w:val="000E3782"/>
    <w:rsid w:val="000E3984"/>
    <w:rsid w:val="000E3DBC"/>
    <w:rsid w:val="000E4045"/>
    <w:rsid w:val="000E411E"/>
    <w:rsid w:val="000E49BB"/>
    <w:rsid w:val="000E4DC4"/>
    <w:rsid w:val="000E5113"/>
    <w:rsid w:val="000E5455"/>
    <w:rsid w:val="000E5A1E"/>
    <w:rsid w:val="000E61A4"/>
    <w:rsid w:val="000E6377"/>
    <w:rsid w:val="000E70FB"/>
    <w:rsid w:val="000E76E6"/>
    <w:rsid w:val="000E7B38"/>
    <w:rsid w:val="000E7DA0"/>
    <w:rsid w:val="000E7FAE"/>
    <w:rsid w:val="000F0AF8"/>
    <w:rsid w:val="000F15C5"/>
    <w:rsid w:val="000F16B2"/>
    <w:rsid w:val="000F1713"/>
    <w:rsid w:val="000F1D06"/>
    <w:rsid w:val="000F22FC"/>
    <w:rsid w:val="000F23CA"/>
    <w:rsid w:val="000F23D5"/>
    <w:rsid w:val="000F2AC0"/>
    <w:rsid w:val="000F2BF2"/>
    <w:rsid w:val="000F3283"/>
    <w:rsid w:val="000F3A41"/>
    <w:rsid w:val="000F3D3D"/>
    <w:rsid w:val="000F42E8"/>
    <w:rsid w:val="000F43D5"/>
    <w:rsid w:val="000F4E4D"/>
    <w:rsid w:val="000F514B"/>
    <w:rsid w:val="000F546E"/>
    <w:rsid w:val="000F5C00"/>
    <w:rsid w:val="000F5C38"/>
    <w:rsid w:val="001002FB"/>
    <w:rsid w:val="00100398"/>
    <w:rsid w:val="0010042B"/>
    <w:rsid w:val="001005AF"/>
    <w:rsid w:val="00100D9A"/>
    <w:rsid w:val="00100EF9"/>
    <w:rsid w:val="00100FDD"/>
    <w:rsid w:val="00101A89"/>
    <w:rsid w:val="00101B40"/>
    <w:rsid w:val="00101E58"/>
    <w:rsid w:val="00102736"/>
    <w:rsid w:val="0010274A"/>
    <w:rsid w:val="001028D7"/>
    <w:rsid w:val="0010292C"/>
    <w:rsid w:val="0010301C"/>
    <w:rsid w:val="00103E93"/>
    <w:rsid w:val="001040F4"/>
    <w:rsid w:val="001048FD"/>
    <w:rsid w:val="00105235"/>
    <w:rsid w:val="0010596D"/>
    <w:rsid w:val="001066DA"/>
    <w:rsid w:val="00106749"/>
    <w:rsid w:val="00106AF2"/>
    <w:rsid w:val="00106B14"/>
    <w:rsid w:val="00106E6A"/>
    <w:rsid w:val="001104CC"/>
    <w:rsid w:val="00110B43"/>
    <w:rsid w:val="0011191E"/>
    <w:rsid w:val="00111B5E"/>
    <w:rsid w:val="00112544"/>
    <w:rsid w:val="00112807"/>
    <w:rsid w:val="00112B8C"/>
    <w:rsid w:val="001134F7"/>
    <w:rsid w:val="00113B0A"/>
    <w:rsid w:val="00114361"/>
    <w:rsid w:val="00115349"/>
    <w:rsid w:val="001158A3"/>
    <w:rsid w:val="00115A66"/>
    <w:rsid w:val="00115EE4"/>
    <w:rsid w:val="00116551"/>
    <w:rsid w:val="0011659E"/>
    <w:rsid w:val="001165E9"/>
    <w:rsid w:val="00117451"/>
    <w:rsid w:val="00117D8F"/>
    <w:rsid w:val="001202DF"/>
    <w:rsid w:val="001205D7"/>
    <w:rsid w:val="0012260A"/>
    <w:rsid w:val="00123080"/>
    <w:rsid w:val="001238ED"/>
    <w:rsid w:val="00123920"/>
    <w:rsid w:val="00123E6A"/>
    <w:rsid w:val="00123FE8"/>
    <w:rsid w:val="001242AC"/>
    <w:rsid w:val="001245C7"/>
    <w:rsid w:val="00124770"/>
    <w:rsid w:val="0012499B"/>
    <w:rsid w:val="001251F0"/>
    <w:rsid w:val="001252A3"/>
    <w:rsid w:val="001255D7"/>
    <w:rsid w:val="00126233"/>
    <w:rsid w:val="00126D75"/>
    <w:rsid w:val="0012779A"/>
    <w:rsid w:val="001304B1"/>
    <w:rsid w:val="00130BC1"/>
    <w:rsid w:val="00130DFB"/>
    <w:rsid w:val="00131223"/>
    <w:rsid w:val="001323CF"/>
    <w:rsid w:val="0013240C"/>
    <w:rsid w:val="00132B54"/>
    <w:rsid w:val="0013315F"/>
    <w:rsid w:val="001345EB"/>
    <w:rsid w:val="00134A98"/>
    <w:rsid w:val="00134ED6"/>
    <w:rsid w:val="00135912"/>
    <w:rsid w:val="00136126"/>
    <w:rsid w:val="001361EB"/>
    <w:rsid w:val="001368B1"/>
    <w:rsid w:val="00136C40"/>
    <w:rsid w:val="0013793B"/>
    <w:rsid w:val="00137F03"/>
    <w:rsid w:val="001402E2"/>
    <w:rsid w:val="001414B6"/>
    <w:rsid w:val="001414E2"/>
    <w:rsid w:val="00142792"/>
    <w:rsid w:val="00142A21"/>
    <w:rsid w:val="001437B0"/>
    <w:rsid w:val="00143841"/>
    <w:rsid w:val="0014458C"/>
    <w:rsid w:val="001447EB"/>
    <w:rsid w:val="00144DD5"/>
    <w:rsid w:val="00144F15"/>
    <w:rsid w:val="00145032"/>
    <w:rsid w:val="00145144"/>
    <w:rsid w:val="00145592"/>
    <w:rsid w:val="001459A0"/>
    <w:rsid w:val="0014662D"/>
    <w:rsid w:val="00147459"/>
    <w:rsid w:val="00147646"/>
    <w:rsid w:val="001477F6"/>
    <w:rsid w:val="00147F3A"/>
    <w:rsid w:val="00150694"/>
    <w:rsid w:val="00150B3F"/>
    <w:rsid w:val="00151411"/>
    <w:rsid w:val="001514C3"/>
    <w:rsid w:val="00151F0C"/>
    <w:rsid w:val="00152023"/>
    <w:rsid w:val="00153DF2"/>
    <w:rsid w:val="001545E1"/>
    <w:rsid w:val="00154695"/>
    <w:rsid w:val="001546F2"/>
    <w:rsid w:val="001548D3"/>
    <w:rsid w:val="00154D4A"/>
    <w:rsid w:val="00154FE1"/>
    <w:rsid w:val="0015508B"/>
    <w:rsid w:val="00155DB6"/>
    <w:rsid w:val="00155FAD"/>
    <w:rsid w:val="0015640A"/>
    <w:rsid w:val="00157534"/>
    <w:rsid w:val="001579F1"/>
    <w:rsid w:val="00157A72"/>
    <w:rsid w:val="00157D37"/>
    <w:rsid w:val="0016105E"/>
    <w:rsid w:val="001617D7"/>
    <w:rsid w:val="0016199F"/>
    <w:rsid w:val="00161B4C"/>
    <w:rsid w:val="00161E54"/>
    <w:rsid w:val="00162339"/>
    <w:rsid w:val="00162552"/>
    <w:rsid w:val="001626AA"/>
    <w:rsid w:val="00163212"/>
    <w:rsid w:val="0016366A"/>
    <w:rsid w:val="00164019"/>
    <w:rsid w:val="001645E2"/>
    <w:rsid w:val="00164707"/>
    <w:rsid w:val="001647C5"/>
    <w:rsid w:val="00165495"/>
    <w:rsid w:val="00165753"/>
    <w:rsid w:val="0016579F"/>
    <w:rsid w:val="00165C5A"/>
    <w:rsid w:val="0016629F"/>
    <w:rsid w:val="001662EF"/>
    <w:rsid w:val="0016645F"/>
    <w:rsid w:val="00166ABC"/>
    <w:rsid w:val="00166D6E"/>
    <w:rsid w:val="00166FCC"/>
    <w:rsid w:val="00167371"/>
    <w:rsid w:val="00167557"/>
    <w:rsid w:val="001676BE"/>
    <w:rsid w:val="0017028F"/>
    <w:rsid w:val="00170340"/>
    <w:rsid w:val="00170E50"/>
    <w:rsid w:val="0017107B"/>
    <w:rsid w:val="001710A0"/>
    <w:rsid w:val="001711A7"/>
    <w:rsid w:val="0017148E"/>
    <w:rsid w:val="0017173F"/>
    <w:rsid w:val="00171DAB"/>
    <w:rsid w:val="00172604"/>
    <w:rsid w:val="00173567"/>
    <w:rsid w:val="001736CD"/>
    <w:rsid w:val="00173863"/>
    <w:rsid w:val="00173A65"/>
    <w:rsid w:val="00173C27"/>
    <w:rsid w:val="0017419E"/>
    <w:rsid w:val="001748C1"/>
    <w:rsid w:val="00175B97"/>
    <w:rsid w:val="00175E89"/>
    <w:rsid w:val="00176B87"/>
    <w:rsid w:val="00176EA0"/>
    <w:rsid w:val="0017718B"/>
    <w:rsid w:val="001773D5"/>
    <w:rsid w:val="0017799E"/>
    <w:rsid w:val="00177B6E"/>
    <w:rsid w:val="00177EE2"/>
    <w:rsid w:val="00180506"/>
    <w:rsid w:val="001806D9"/>
    <w:rsid w:val="0018090F"/>
    <w:rsid w:val="0018099D"/>
    <w:rsid w:val="0018104B"/>
    <w:rsid w:val="00181B1C"/>
    <w:rsid w:val="00181F41"/>
    <w:rsid w:val="0018222E"/>
    <w:rsid w:val="00182431"/>
    <w:rsid w:val="00182B16"/>
    <w:rsid w:val="0018300D"/>
    <w:rsid w:val="00183782"/>
    <w:rsid w:val="00183DB6"/>
    <w:rsid w:val="00184520"/>
    <w:rsid w:val="00184756"/>
    <w:rsid w:val="00184791"/>
    <w:rsid w:val="001848AF"/>
    <w:rsid w:val="0018517E"/>
    <w:rsid w:val="00185C4E"/>
    <w:rsid w:val="00186AE0"/>
    <w:rsid w:val="00186BEE"/>
    <w:rsid w:val="00186D51"/>
    <w:rsid w:val="00187291"/>
    <w:rsid w:val="00187413"/>
    <w:rsid w:val="001875A8"/>
    <w:rsid w:val="001876A2"/>
    <w:rsid w:val="0018786D"/>
    <w:rsid w:val="001878EA"/>
    <w:rsid w:val="00191208"/>
    <w:rsid w:val="001914AF"/>
    <w:rsid w:val="001914E1"/>
    <w:rsid w:val="00191719"/>
    <w:rsid w:val="00192D22"/>
    <w:rsid w:val="00192DCB"/>
    <w:rsid w:val="0019390E"/>
    <w:rsid w:val="00193B82"/>
    <w:rsid w:val="00193C9F"/>
    <w:rsid w:val="00194CDB"/>
    <w:rsid w:val="00194D01"/>
    <w:rsid w:val="001963E9"/>
    <w:rsid w:val="00196498"/>
    <w:rsid w:val="00196D09"/>
    <w:rsid w:val="001973FB"/>
    <w:rsid w:val="00197490"/>
    <w:rsid w:val="0019766C"/>
    <w:rsid w:val="00197CE6"/>
    <w:rsid w:val="001A0334"/>
    <w:rsid w:val="001A0372"/>
    <w:rsid w:val="001A03A3"/>
    <w:rsid w:val="001A064F"/>
    <w:rsid w:val="001A0A61"/>
    <w:rsid w:val="001A0EC3"/>
    <w:rsid w:val="001A0F4C"/>
    <w:rsid w:val="001A14C3"/>
    <w:rsid w:val="001A1A0F"/>
    <w:rsid w:val="001A226F"/>
    <w:rsid w:val="001A2663"/>
    <w:rsid w:val="001A3748"/>
    <w:rsid w:val="001A3B5A"/>
    <w:rsid w:val="001A3C4E"/>
    <w:rsid w:val="001A48DA"/>
    <w:rsid w:val="001A4A56"/>
    <w:rsid w:val="001A5097"/>
    <w:rsid w:val="001A56E5"/>
    <w:rsid w:val="001A5A2E"/>
    <w:rsid w:val="001A5A68"/>
    <w:rsid w:val="001A5FD2"/>
    <w:rsid w:val="001A6177"/>
    <w:rsid w:val="001A635D"/>
    <w:rsid w:val="001A6650"/>
    <w:rsid w:val="001A7D70"/>
    <w:rsid w:val="001B00D8"/>
    <w:rsid w:val="001B02E1"/>
    <w:rsid w:val="001B0365"/>
    <w:rsid w:val="001B0F00"/>
    <w:rsid w:val="001B11DC"/>
    <w:rsid w:val="001B1F0E"/>
    <w:rsid w:val="001B249B"/>
    <w:rsid w:val="001B2723"/>
    <w:rsid w:val="001B402E"/>
    <w:rsid w:val="001B4DE4"/>
    <w:rsid w:val="001B5078"/>
    <w:rsid w:val="001B547E"/>
    <w:rsid w:val="001B5916"/>
    <w:rsid w:val="001B62D0"/>
    <w:rsid w:val="001B63AA"/>
    <w:rsid w:val="001B6FF2"/>
    <w:rsid w:val="001B71ED"/>
    <w:rsid w:val="001B783D"/>
    <w:rsid w:val="001C01D5"/>
    <w:rsid w:val="001C0983"/>
    <w:rsid w:val="001C0BB7"/>
    <w:rsid w:val="001C1834"/>
    <w:rsid w:val="001C243A"/>
    <w:rsid w:val="001C24FB"/>
    <w:rsid w:val="001C292E"/>
    <w:rsid w:val="001C2C07"/>
    <w:rsid w:val="001C302B"/>
    <w:rsid w:val="001C346F"/>
    <w:rsid w:val="001C3A7A"/>
    <w:rsid w:val="001C44D4"/>
    <w:rsid w:val="001C4E77"/>
    <w:rsid w:val="001C5E0C"/>
    <w:rsid w:val="001C6ACF"/>
    <w:rsid w:val="001C6CEF"/>
    <w:rsid w:val="001C749A"/>
    <w:rsid w:val="001C771A"/>
    <w:rsid w:val="001C7723"/>
    <w:rsid w:val="001C7EBE"/>
    <w:rsid w:val="001D08D3"/>
    <w:rsid w:val="001D09E0"/>
    <w:rsid w:val="001D0A28"/>
    <w:rsid w:val="001D1953"/>
    <w:rsid w:val="001D1DEF"/>
    <w:rsid w:val="001D1E6A"/>
    <w:rsid w:val="001D2649"/>
    <w:rsid w:val="001D2764"/>
    <w:rsid w:val="001D29ED"/>
    <w:rsid w:val="001D2AD4"/>
    <w:rsid w:val="001D2EA0"/>
    <w:rsid w:val="001D3E30"/>
    <w:rsid w:val="001D4782"/>
    <w:rsid w:val="001D4D96"/>
    <w:rsid w:val="001D527B"/>
    <w:rsid w:val="001D60A2"/>
    <w:rsid w:val="001D610D"/>
    <w:rsid w:val="001D615F"/>
    <w:rsid w:val="001D624B"/>
    <w:rsid w:val="001D6454"/>
    <w:rsid w:val="001D6D18"/>
    <w:rsid w:val="001D6E92"/>
    <w:rsid w:val="001D6F15"/>
    <w:rsid w:val="001D734B"/>
    <w:rsid w:val="001D7B80"/>
    <w:rsid w:val="001D7BAD"/>
    <w:rsid w:val="001E007E"/>
    <w:rsid w:val="001E014D"/>
    <w:rsid w:val="001E0DD6"/>
    <w:rsid w:val="001E10CE"/>
    <w:rsid w:val="001E125D"/>
    <w:rsid w:val="001E1513"/>
    <w:rsid w:val="001E1FF7"/>
    <w:rsid w:val="001E30B1"/>
    <w:rsid w:val="001E376F"/>
    <w:rsid w:val="001E4A15"/>
    <w:rsid w:val="001E6BAE"/>
    <w:rsid w:val="001E79C4"/>
    <w:rsid w:val="001E7F25"/>
    <w:rsid w:val="001F037E"/>
    <w:rsid w:val="001F0F47"/>
    <w:rsid w:val="001F1B42"/>
    <w:rsid w:val="001F1CCF"/>
    <w:rsid w:val="001F1E52"/>
    <w:rsid w:val="001F1EF9"/>
    <w:rsid w:val="001F203B"/>
    <w:rsid w:val="001F23B9"/>
    <w:rsid w:val="001F2CC7"/>
    <w:rsid w:val="001F2D60"/>
    <w:rsid w:val="001F2E0A"/>
    <w:rsid w:val="001F2FB6"/>
    <w:rsid w:val="001F304E"/>
    <w:rsid w:val="001F33D1"/>
    <w:rsid w:val="001F3893"/>
    <w:rsid w:val="001F4667"/>
    <w:rsid w:val="001F4B96"/>
    <w:rsid w:val="001F4F21"/>
    <w:rsid w:val="001F55BB"/>
    <w:rsid w:val="001F574D"/>
    <w:rsid w:val="001F619A"/>
    <w:rsid w:val="001F6A13"/>
    <w:rsid w:val="001F6FAA"/>
    <w:rsid w:val="002000A7"/>
    <w:rsid w:val="00200103"/>
    <w:rsid w:val="00200509"/>
    <w:rsid w:val="0020060E"/>
    <w:rsid w:val="00200FA6"/>
    <w:rsid w:val="00200FF5"/>
    <w:rsid w:val="00201E80"/>
    <w:rsid w:val="0020219B"/>
    <w:rsid w:val="00202609"/>
    <w:rsid w:val="00202C67"/>
    <w:rsid w:val="00202D8C"/>
    <w:rsid w:val="00202F82"/>
    <w:rsid w:val="00203049"/>
    <w:rsid w:val="002038EE"/>
    <w:rsid w:val="002041FE"/>
    <w:rsid w:val="00204DEC"/>
    <w:rsid w:val="0020558F"/>
    <w:rsid w:val="002059E3"/>
    <w:rsid w:val="00205DB4"/>
    <w:rsid w:val="00205F8A"/>
    <w:rsid w:val="0020651C"/>
    <w:rsid w:val="00206982"/>
    <w:rsid w:val="00206B2D"/>
    <w:rsid w:val="00206C48"/>
    <w:rsid w:val="0020720B"/>
    <w:rsid w:val="002075CA"/>
    <w:rsid w:val="002078EE"/>
    <w:rsid w:val="002105BF"/>
    <w:rsid w:val="002105F4"/>
    <w:rsid w:val="00211474"/>
    <w:rsid w:val="002114CA"/>
    <w:rsid w:val="00211956"/>
    <w:rsid w:val="00211E99"/>
    <w:rsid w:val="00212E05"/>
    <w:rsid w:val="00213061"/>
    <w:rsid w:val="00214334"/>
    <w:rsid w:val="002145B0"/>
    <w:rsid w:val="002147BC"/>
    <w:rsid w:val="00214B26"/>
    <w:rsid w:val="00214E97"/>
    <w:rsid w:val="00215391"/>
    <w:rsid w:val="00215720"/>
    <w:rsid w:val="00215CFF"/>
    <w:rsid w:val="00216221"/>
    <w:rsid w:val="002162A1"/>
    <w:rsid w:val="0021719F"/>
    <w:rsid w:val="0021725B"/>
    <w:rsid w:val="0021747B"/>
    <w:rsid w:val="00217738"/>
    <w:rsid w:val="00217DBA"/>
    <w:rsid w:val="00221491"/>
    <w:rsid w:val="00221B21"/>
    <w:rsid w:val="00222102"/>
    <w:rsid w:val="002226A6"/>
    <w:rsid w:val="002226B0"/>
    <w:rsid w:val="0022290B"/>
    <w:rsid w:val="00223358"/>
    <w:rsid w:val="002237EF"/>
    <w:rsid w:val="00223C12"/>
    <w:rsid w:val="00223D4C"/>
    <w:rsid w:val="00224432"/>
    <w:rsid w:val="00225110"/>
    <w:rsid w:val="00225113"/>
    <w:rsid w:val="00225231"/>
    <w:rsid w:val="0022586F"/>
    <w:rsid w:val="00226B8C"/>
    <w:rsid w:val="0022722F"/>
    <w:rsid w:val="00227291"/>
    <w:rsid w:val="00227682"/>
    <w:rsid w:val="00227C6A"/>
    <w:rsid w:val="00230651"/>
    <w:rsid w:val="00230D7F"/>
    <w:rsid w:val="0023161C"/>
    <w:rsid w:val="00231AAC"/>
    <w:rsid w:val="00231D57"/>
    <w:rsid w:val="00231EF2"/>
    <w:rsid w:val="00231F46"/>
    <w:rsid w:val="002329A0"/>
    <w:rsid w:val="00232E8F"/>
    <w:rsid w:val="00232EDD"/>
    <w:rsid w:val="00233339"/>
    <w:rsid w:val="002333B0"/>
    <w:rsid w:val="00233694"/>
    <w:rsid w:val="00233D03"/>
    <w:rsid w:val="00233D06"/>
    <w:rsid w:val="0023425B"/>
    <w:rsid w:val="0023432C"/>
    <w:rsid w:val="00234781"/>
    <w:rsid w:val="00234925"/>
    <w:rsid w:val="00234B99"/>
    <w:rsid w:val="002352F5"/>
    <w:rsid w:val="002357B2"/>
    <w:rsid w:val="00235AFE"/>
    <w:rsid w:val="00235E3E"/>
    <w:rsid w:val="00235E6E"/>
    <w:rsid w:val="00236158"/>
    <w:rsid w:val="002370AE"/>
    <w:rsid w:val="00237155"/>
    <w:rsid w:val="00237354"/>
    <w:rsid w:val="002375E7"/>
    <w:rsid w:val="0023778C"/>
    <w:rsid w:val="0024069B"/>
    <w:rsid w:val="00240A44"/>
    <w:rsid w:val="0024110E"/>
    <w:rsid w:val="002412AE"/>
    <w:rsid w:val="00241B96"/>
    <w:rsid w:val="00241F51"/>
    <w:rsid w:val="0024214D"/>
    <w:rsid w:val="0024317E"/>
    <w:rsid w:val="00243463"/>
    <w:rsid w:val="00243C09"/>
    <w:rsid w:val="00244446"/>
    <w:rsid w:val="002448AB"/>
    <w:rsid w:val="0024613F"/>
    <w:rsid w:val="00246500"/>
    <w:rsid w:val="00246CFE"/>
    <w:rsid w:val="00247233"/>
    <w:rsid w:val="0024784E"/>
    <w:rsid w:val="00247C34"/>
    <w:rsid w:val="002500C0"/>
    <w:rsid w:val="0025040A"/>
    <w:rsid w:val="0025072D"/>
    <w:rsid w:val="002507C2"/>
    <w:rsid w:val="00250D18"/>
    <w:rsid w:val="00250F03"/>
    <w:rsid w:val="0025117C"/>
    <w:rsid w:val="0025177D"/>
    <w:rsid w:val="00251DCA"/>
    <w:rsid w:val="00251EB5"/>
    <w:rsid w:val="0025217F"/>
    <w:rsid w:val="00252310"/>
    <w:rsid w:val="002526F6"/>
    <w:rsid w:val="002528DE"/>
    <w:rsid w:val="00252BF4"/>
    <w:rsid w:val="00252E5B"/>
    <w:rsid w:val="00252E96"/>
    <w:rsid w:val="002534D6"/>
    <w:rsid w:val="00253560"/>
    <w:rsid w:val="002537E9"/>
    <w:rsid w:val="00253930"/>
    <w:rsid w:val="00253DBA"/>
    <w:rsid w:val="00253DC9"/>
    <w:rsid w:val="00253F1C"/>
    <w:rsid w:val="0025499A"/>
    <w:rsid w:val="00255641"/>
    <w:rsid w:val="00255E20"/>
    <w:rsid w:val="00255F69"/>
    <w:rsid w:val="0025620D"/>
    <w:rsid w:val="00256596"/>
    <w:rsid w:val="002565C4"/>
    <w:rsid w:val="00256BD4"/>
    <w:rsid w:val="00256D26"/>
    <w:rsid w:val="0025778A"/>
    <w:rsid w:val="00260534"/>
    <w:rsid w:val="002622C5"/>
    <w:rsid w:val="00263410"/>
    <w:rsid w:val="00263A93"/>
    <w:rsid w:val="00264794"/>
    <w:rsid w:val="0026486F"/>
    <w:rsid w:val="002656CA"/>
    <w:rsid w:val="0026575B"/>
    <w:rsid w:val="0026626E"/>
    <w:rsid w:val="00266A60"/>
    <w:rsid w:val="00266D00"/>
    <w:rsid w:val="00267614"/>
    <w:rsid w:val="002677B8"/>
    <w:rsid w:val="002700FE"/>
    <w:rsid w:val="002706F9"/>
    <w:rsid w:val="00270F77"/>
    <w:rsid w:val="002711B1"/>
    <w:rsid w:val="00271510"/>
    <w:rsid w:val="00271667"/>
    <w:rsid w:val="002718CB"/>
    <w:rsid w:val="00271E21"/>
    <w:rsid w:val="00272456"/>
    <w:rsid w:val="002725AB"/>
    <w:rsid w:val="002726D5"/>
    <w:rsid w:val="00272E4A"/>
    <w:rsid w:val="002733AD"/>
    <w:rsid w:val="00273798"/>
    <w:rsid w:val="002738F8"/>
    <w:rsid w:val="00273A2D"/>
    <w:rsid w:val="00275ACE"/>
    <w:rsid w:val="002767CF"/>
    <w:rsid w:val="002767E2"/>
    <w:rsid w:val="00276C32"/>
    <w:rsid w:val="00276E1A"/>
    <w:rsid w:val="00280137"/>
    <w:rsid w:val="00280762"/>
    <w:rsid w:val="00280B35"/>
    <w:rsid w:val="0028159D"/>
    <w:rsid w:val="00282148"/>
    <w:rsid w:val="00282394"/>
    <w:rsid w:val="00283DA5"/>
    <w:rsid w:val="002840D5"/>
    <w:rsid w:val="002843FB"/>
    <w:rsid w:val="00284512"/>
    <w:rsid w:val="002849D7"/>
    <w:rsid w:val="00284DE1"/>
    <w:rsid w:val="00284F90"/>
    <w:rsid w:val="0028508D"/>
    <w:rsid w:val="0028521B"/>
    <w:rsid w:val="00285B23"/>
    <w:rsid w:val="00285D18"/>
    <w:rsid w:val="00286160"/>
    <w:rsid w:val="0028694E"/>
    <w:rsid w:val="002869E4"/>
    <w:rsid w:val="002873A6"/>
    <w:rsid w:val="00287905"/>
    <w:rsid w:val="00287CDA"/>
    <w:rsid w:val="00290498"/>
    <w:rsid w:val="002913FA"/>
    <w:rsid w:val="0029165C"/>
    <w:rsid w:val="00291EF4"/>
    <w:rsid w:val="002923C6"/>
    <w:rsid w:val="00292B5B"/>
    <w:rsid w:val="00292C9D"/>
    <w:rsid w:val="00292E46"/>
    <w:rsid w:val="002935FA"/>
    <w:rsid w:val="0029382C"/>
    <w:rsid w:val="00293A77"/>
    <w:rsid w:val="00294DF7"/>
    <w:rsid w:val="00294F72"/>
    <w:rsid w:val="0029525F"/>
    <w:rsid w:val="002953A7"/>
    <w:rsid w:val="00295E47"/>
    <w:rsid w:val="0029648F"/>
    <w:rsid w:val="0029681F"/>
    <w:rsid w:val="00296D2D"/>
    <w:rsid w:val="00296D42"/>
    <w:rsid w:val="002970AE"/>
    <w:rsid w:val="00297533"/>
    <w:rsid w:val="00297BD2"/>
    <w:rsid w:val="00297DCA"/>
    <w:rsid w:val="002A0546"/>
    <w:rsid w:val="002A0B1E"/>
    <w:rsid w:val="002A12B4"/>
    <w:rsid w:val="002A1793"/>
    <w:rsid w:val="002A1E08"/>
    <w:rsid w:val="002A34DF"/>
    <w:rsid w:val="002A4246"/>
    <w:rsid w:val="002A433E"/>
    <w:rsid w:val="002A45D5"/>
    <w:rsid w:val="002A4948"/>
    <w:rsid w:val="002A49B7"/>
    <w:rsid w:val="002A4C2F"/>
    <w:rsid w:val="002A4C96"/>
    <w:rsid w:val="002A52B8"/>
    <w:rsid w:val="002A556A"/>
    <w:rsid w:val="002A5A51"/>
    <w:rsid w:val="002A63D5"/>
    <w:rsid w:val="002A66A0"/>
    <w:rsid w:val="002A66EC"/>
    <w:rsid w:val="002A6ADE"/>
    <w:rsid w:val="002A6D3D"/>
    <w:rsid w:val="002A6ED3"/>
    <w:rsid w:val="002A7483"/>
    <w:rsid w:val="002A7609"/>
    <w:rsid w:val="002A7B71"/>
    <w:rsid w:val="002A7C1B"/>
    <w:rsid w:val="002B0513"/>
    <w:rsid w:val="002B0CB9"/>
    <w:rsid w:val="002B11ED"/>
    <w:rsid w:val="002B168E"/>
    <w:rsid w:val="002B1A45"/>
    <w:rsid w:val="002B2176"/>
    <w:rsid w:val="002B3165"/>
    <w:rsid w:val="002B317D"/>
    <w:rsid w:val="002B367B"/>
    <w:rsid w:val="002B3C7F"/>
    <w:rsid w:val="002B3E10"/>
    <w:rsid w:val="002B3EB4"/>
    <w:rsid w:val="002B40E0"/>
    <w:rsid w:val="002B47D4"/>
    <w:rsid w:val="002B5285"/>
    <w:rsid w:val="002B5A24"/>
    <w:rsid w:val="002B5A79"/>
    <w:rsid w:val="002B5EA3"/>
    <w:rsid w:val="002B61AB"/>
    <w:rsid w:val="002B65FF"/>
    <w:rsid w:val="002B6F3E"/>
    <w:rsid w:val="002B724B"/>
    <w:rsid w:val="002B75B8"/>
    <w:rsid w:val="002B7CFB"/>
    <w:rsid w:val="002C0243"/>
    <w:rsid w:val="002C03B8"/>
    <w:rsid w:val="002C07E3"/>
    <w:rsid w:val="002C0A62"/>
    <w:rsid w:val="002C11C3"/>
    <w:rsid w:val="002C1777"/>
    <w:rsid w:val="002C255A"/>
    <w:rsid w:val="002C2796"/>
    <w:rsid w:val="002C3067"/>
    <w:rsid w:val="002C3825"/>
    <w:rsid w:val="002C3E71"/>
    <w:rsid w:val="002C4EDE"/>
    <w:rsid w:val="002C50DD"/>
    <w:rsid w:val="002C53D7"/>
    <w:rsid w:val="002C586C"/>
    <w:rsid w:val="002C5E60"/>
    <w:rsid w:val="002C687D"/>
    <w:rsid w:val="002C7650"/>
    <w:rsid w:val="002D00F0"/>
    <w:rsid w:val="002D03A2"/>
    <w:rsid w:val="002D044F"/>
    <w:rsid w:val="002D0BBC"/>
    <w:rsid w:val="002D0E3B"/>
    <w:rsid w:val="002D1A0F"/>
    <w:rsid w:val="002D2169"/>
    <w:rsid w:val="002D23C3"/>
    <w:rsid w:val="002D249A"/>
    <w:rsid w:val="002D301E"/>
    <w:rsid w:val="002D32DA"/>
    <w:rsid w:val="002D387A"/>
    <w:rsid w:val="002D3C99"/>
    <w:rsid w:val="002D45C4"/>
    <w:rsid w:val="002D470C"/>
    <w:rsid w:val="002D477C"/>
    <w:rsid w:val="002D4ADF"/>
    <w:rsid w:val="002D4C3F"/>
    <w:rsid w:val="002D4FA1"/>
    <w:rsid w:val="002D5463"/>
    <w:rsid w:val="002D6298"/>
    <w:rsid w:val="002D6654"/>
    <w:rsid w:val="002D67B1"/>
    <w:rsid w:val="002D6FB9"/>
    <w:rsid w:val="002D720D"/>
    <w:rsid w:val="002D791C"/>
    <w:rsid w:val="002E036D"/>
    <w:rsid w:val="002E088D"/>
    <w:rsid w:val="002E191B"/>
    <w:rsid w:val="002E1937"/>
    <w:rsid w:val="002E1CF8"/>
    <w:rsid w:val="002E2518"/>
    <w:rsid w:val="002E2B1C"/>
    <w:rsid w:val="002E2E4A"/>
    <w:rsid w:val="002E35F8"/>
    <w:rsid w:val="002E3646"/>
    <w:rsid w:val="002E3927"/>
    <w:rsid w:val="002E3BEA"/>
    <w:rsid w:val="002E3CD8"/>
    <w:rsid w:val="002E3F9E"/>
    <w:rsid w:val="002E3FC3"/>
    <w:rsid w:val="002E4535"/>
    <w:rsid w:val="002E519C"/>
    <w:rsid w:val="002E56A4"/>
    <w:rsid w:val="002E5865"/>
    <w:rsid w:val="002E5971"/>
    <w:rsid w:val="002E5D8C"/>
    <w:rsid w:val="002E64FF"/>
    <w:rsid w:val="002E73AD"/>
    <w:rsid w:val="002E7962"/>
    <w:rsid w:val="002E7A0B"/>
    <w:rsid w:val="002E7AD5"/>
    <w:rsid w:val="002E7D22"/>
    <w:rsid w:val="002E7D30"/>
    <w:rsid w:val="002E7E2A"/>
    <w:rsid w:val="002F0F00"/>
    <w:rsid w:val="002F1584"/>
    <w:rsid w:val="002F16E1"/>
    <w:rsid w:val="002F1BC0"/>
    <w:rsid w:val="002F2525"/>
    <w:rsid w:val="002F2AE9"/>
    <w:rsid w:val="002F348B"/>
    <w:rsid w:val="002F3A21"/>
    <w:rsid w:val="002F3E02"/>
    <w:rsid w:val="002F4857"/>
    <w:rsid w:val="002F5066"/>
    <w:rsid w:val="002F5970"/>
    <w:rsid w:val="002F604A"/>
    <w:rsid w:val="002F6DC6"/>
    <w:rsid w:val="002F73C1"/>
    <w:rsid w:val="002F77E1"/>
    <w:rsid w:val="00300003"/>
    <w:rsid w:val="00300ECD"/>
    <w:rsid w:val="003010C9"/>
    <w:rsid w:val="0030125F"/>
    <w:rsid w:val="00301341"/>
    <w:rsid w:val="00301A2D"/>
    <w:rsid w:val="00301AA6"/>
    <w:rsid w:val="00301F70"/>
    <w:rsid w:val="00301FE5"/>
    <w:rsid w:val="00304C33"/>
    <w:rsid w:val="003052F0"/>
    <w:rsid w:val="0030535F"/>
    <w:rsid w:val="00305AF9"/>
    <w:rsid w:val="0030750E"/>
    <w:rsid w:val="0031054C"/>
    <w:rsid w:val="00310684"/>
    <w:rsid w:val="00310BAB"/>
    <w:rsid w:val="00310FAF"/>
    <w:rsid w:val="003110BF"/>
    <w:rsid w:val="0031276C"/>
    <w:rsid w:val="0031285F"/>
    <w:rsid w:val="00312D36"/>
    <w:rsid w:val="00312E4E"/>
    <w:rsid w:val="00313022"/>
    <w:rsid w:val="00313062"/>
    <w:rsid w:val="00313BCF"/>
    <w:rsid w:val="00314110"/>
    <w:rsid w:val="00314ECC"/>
    <w:rsid w:val="00315086"/>
    <w:rsid w:val="003155D5"/>
    <w:rsid w:val="0031571B"/>
    <w:rsid w:val="003161F1"/>
    <w:rsid w:val="00316351"/>
    <w:rsid w:val="00316614"/>
    <w:rsid w:val="0031678E"/>
    <w:rsid w:val="003175C9"/>
    <w:rsid w:val="00317D07"/>
    <w:rsid w:val="003206BE"/>
    <w:rsid w:val="003206C0"/>
    <w:rsid w:val="00320B26"/>
    <w:rsid w:val="0032127D"/>
    <w:rsid w:val="00321BE6"/>
    <w:rsid w:val="00321E94"/>
    <w:rsid w:val="00322558"/>
    <w:rsid w:val="0032268F"/>
    <w:rsid w:val="003234CF"/>
    <w:rsid w:val="00323C76"/>
    <w:rsid w:val="00323FE4"/>
    <w:rsid w:val="003242D9"/>
    <w:rsid w:val="003243ED"/>
    <w:rsid w:val="003249FB"/>
    <w:rsid w:val="00324BBF"/>
    <w:rsid w:val="00325144"/>
    <w:rsid w:val="003259AE"/>
    <w:rsid w:val="003267C8"/>
    <w:rsid w:val="00326C06"/>
    <w:rsid w:val="00326DBC"/>
    <w:rsid w:val="00326E0B"/>
    <w:rsid w:val="00326FA8"/>
    <w:rsid w:val="00327046"/>
    <w:rsid w:val="00327093"/>
    <w:rsid w:val="0032741A"/>
    <w:rsid w:val="0032741E"/>
    <w:rsid w:val="00327740"/>
    <w:rsid w:val="00327816"/>
    <w:rsid w:val="00327CA1"/>
    <w:rsid w:val="00330660"/>
    <w:rsid w:val="0033087B"/>
    <w:rsid w:val="00330A91"/>
    <w:rsid w:val="00330ACA"/>
    <w:rsid w:val="00330E30"/>
    <w:rsid w:val="00330E5B"/>
    <w:rsid w:val="00331325"/>
    <w:rsid w:val="003313F1"/>
    <w:rsid w:val="00331CF2"/>
    <w:rsid w:val="0033262C"/>
    <w:rsid w:val="00332D85"/>
    <w:rsid w:val="00333335"/>
    <w:rsid w:val="003340FF"/>
    <w:rsid w:val="00334473"/>
    <w:rsid w:val="003347FC"/>
    <w:rsid w:val="0033531E"/>
    <w:rsid w:val="00335B36"/>
    <w:rsid w:val="00336F7D"/>
    <w:rsid w:val="00337203"/>
    <w:rsid w:val="003376C5"/>
    <w:rsid w:val="00337E19"/>
    <w:rsid w:val="003412A3"/>
    <w:rsid w:val="00341B2D"/>
    <w:rsid w:val="00342354"/>
    <w:rsid w:val="00343344"/>
    <w:rsid w:val="003435D3"/>
    <w:rsid w:val="00346086"/>
    <w:rsid w:val="003464ED"/>
    <w:rsid w:val="00346544"/>
    <w:rsid w:val="00346615"/>
    <w:rsid w:val="00347287"/>
    <w:rsid w:val="0034765C"/>
    <w:rsid w:val="00350CF4"/>
    <w:rsid w:val="00350E1C"/>
    <w:rsid w:val="00351592"/>
    <w:rsid w:val="00351AB5"/>
    <w:rsid w:val="003522F2"/>
    <w:rsid w:val="0035244F"/>
    <w:rsid w:val="00352684"/>
    <w:rsid w:val="003532A9"/>
    <w:rsid w:val="00353456"/>
    <w:rsid w:val="00353F3C"/>
    <w:rsid w:val="0035412C"/>
    <w:rsid w:val="0035433C"/>
    <w:rsid w:val="003547A0"/>
    <w:rsid w:val="00354D69"/>
    <w:rsid w:val="00355297"/>
    <w:rsid w:val="00355984"/>
    <w:rsid w:val="00356B05"/>
    <w:rsid w:val="003572C2"/>
    <w:rsid w:val="00357BE2"/>
    <w:rsid w:val="00357D1A"/>
    <w:rsid w:val="00357ED2"/>
    <w:rsid w:val="00360C1D"/>
    <w:rsid w:val="003614AB"/>
    <w:rsid w:val="00362557"/>
    <w:rsid w:val="00362A76"/>
    <w:rsid w:val="003631F9"/>
    <w:rsid w:val="00363949"/>
    <w:rsid w:val="00363A1C"/>
    <w:rsid w:val="00363C4C"/>
    <w:rsid w:val="00363C90"/>
    <w:rsid w:val="00364AB2"/>
    <w:rsid w:val="00364BE1"/>
    <w:rsid w:val="00364E2B"/>
    <w:rsid w:val="00365333"/>
    <w:rsid w:val="003653B2"/>
    <w:rsid w:val="00365869"/>
    <w:rsid w:val="003671CA"/>
    <w:rsid w:val="00367231"/>
    <w:rsid w:val="003674BC"/>
    <w:rsid w:val="00367791"/>
    <w:rsid w:val="003677B0"/>
    <w:rsid w:val="00367C8A"/>
    <w:rsid w:val="00370065"/>
    <w:rsid w:val="00370866"/>
    <w:rsid w:val="00370B1B"/>
    <w:rsid w:val="00370E4F"/>
    <w:rsid w:val="003727F8"/>
    <w:rsid w:val="00373797"/>
    <w:rsid w:val="0037391D"/>
    <w:rsid w:val="003744E8"/>
    <w:rsid w:val="0037470A"/>
    <w:rsid w:val="00374844"/>
    <w:rsid w:val="00374F33"/>
    <w:rsid w:val="00375806"/>
    <w:rsid w:val="00375816"/>
    <w:rsid w:val="0037610D"/>
    <w:rsid w:val="0037622F"/>
    <w:rsid w:val="0037654E"/>
    <w:rsid w:val="00376D7F"/>
    <w:rsid w:val="00377E8C"/>
    <w:rsid w:val="00377FCD"/>
    <w:rsid w:val="00380F2A"/>
    <w:rsid w:val="0038114A"/>
    <w:rsid w:val="0038186B"/>
    <w:rsid w:val="00382630"/>
    <w:rsid w:val="0038273E"/>
    <w:rsid w:val="00382DAD"/>
    <w:rsid w:val="0038331E"/>
    <w:rsid w:val="00383503"/>
    <w:rsid w:val="003835CC"/>
    <w:rsid w:val="00383691"/>
    <w:rsid w:val="0038393B"/>
    <w:rsid w:val="00383C54"/>
    <w:rsid w:val="00383E7E"/>
    <w:rsid w:val="0038454F"/>
    <w:rsid w:val="0038515E"/>
    <w:rsid w:val="003856DA"/>
    <w:rsid w:val="00385919"/>
    <w:rsid w:val="00385FFD"/>
    <w:rsid w:val="00386876"/>
    <w:rsid w:val="00387691"/>
    <w:rsid w:val="003877BA"/>
    <w:rsid w:val="003878C3"/>
    <w:rsid w:val="00390222"/>
    <w:rsid w:val="00390B81"/>
    <w:rsid w:val="00391528"/>
    <w:rsid w:val="00391566"/>
    <w:rsid w:val="00391877"/>
    <w:rsid w:val="00391B67"/>
    <w:rsid w:val="00392014"/>
    <w:rsid w:val="00392117"/>
    <w:rsid w:val="00392853"/>
    <w:rsid w:val="00392D76"/>
    <w:rsid w:val="00393413"/>
    <w:rsid w:val="00393428"/>
    <w:rsid w:val="00394030"/>
    <w:rsid w:val="003941C1"/>
    <w:rsid w:val="003941F6"/>
    <w:rsid w:val="003941FE"/>
    <w:rsid w:val="003948CE"/>
    <w:rsid w:val="00394940"/>
    <w:rsid w:val="00394D5C"/>
    <w:rsid w:val="0039539D"/>
    <w:rsid w:val="003959CE"/>
    <w:rsid w:val="00395BBF"/>
    <w:rsid w:val="00395FD3"/>
    <w:rsid w:val="003968F9"/>
    <w:rsid w:val="00397F0A"/>
    <w:rsid w:val="003A0108"/>
    <w:rsid w:val="003A0D0C"/>
    <w:rsid w:val="003A1CEE"/>
    <w:rsid w:val="003A1F5E"/>
    <w:rsid w:val="003A34F2"/>
    <w:rsid w:val="003A40B3"/>
    <w:rsid w:val="003A4153"/>
    <w:rsid w:val="003A44B7"/>
    <w:rsid w:val="003A478C"/>
    <w:rsid w:val="003A50A2"/>
    <w:rsid w:val="003A52D8"/>
    <w:rsid w:val="003A57D7"/>
    <w:rsid w:val="003A582D"/>
    <w:rsid w:val="003A5843"/>
    <w:rsid w:val="003A618E"/>
    <w:rsid w:val="003A6639"/>
    <w:rsid w:val="003A6F13"/>
    <w:rsid w:val="003A721E"/>
    <w:rsid w:val="003A7415"/>
    <w:rsid w:val="003A750B"/>
    <w:rsid w:val="003A7512"/>
    <w:rsid w:val="003A7C73"/>
    <w:rsid w:val="003A7EE8"/>
    <w:rsid w:val="003B01A8"/>
    <w:rsid w:val="003B075A"/>
    <w:rsid w:val="003B085D"/>
    <w:rsid w:val="003B14A0"/>
    <w:rsid w:val="003B1507"/>
    <w:rsid w:val="003B1D39"/>
    <w:rsid w:val="003B1E9B"/>
    <w:rsid w:val="003B2054"/>
    <w:rsid w:val="003B2B4B"/>
    <w:rsid w:val="003B2B5F"/>
    <w:rsid w:val="003B2E68"/>
    <w:rsid w:val="003B3AEA"/>
    <w:rsid w:val="003B3DDA"/>
    <w:rsid w:val="003B4232"/>
    <w:rsid w:val="003B4537"/>
    <w:rsid w:val="003B459B"/>
    <w:rsid w:val="003B4B75"/>
    <w:rsid w:val="003B4F5E"/>
    <w:rsid w:val="003B521B"/>
    <w:rsid w:val="003B524A"/>
    <w:rsid w:val="003B58EE"/>
    <w:rsid w:val="003B5BC2"/>
    <w:rsid w:val="003B5BFF"/>
    <w:rsid w:val="003B5C03"/>
    <w:rsid w:val="003B5F82"/>
    <w:rsid w:val="003B65DD"/>
    <w:rsid w:val="003B7A10"/>
    <w:rsid w:val="003B7CE2"/>
    <w:rsid w:val="003B7EC5"/>
    <w:rsid w:val="003C095B"/>
    <w:rsid w:val="003C0B73"/>
    <w:rsid w:val="003C104E"/>
    <w:rsid w:val="003C124A"/>
    <w:rsid w:val="003C1942"/>
    <w:rsid w:val="003C1C49"/>
    <w:rsid w:val="003C223A"/>
    <w:rsid w:val="003C26E9"/>
    <w:rsid w:val="003C2B38"/>
    <w:rsid w:val="003C2CF9"/>
    <w:rsid w:val="003C2E13"/>
    <w:rsid w:val="003C2F62"/>
    <w:rsid w:val="003C3807"/>
    <w:rsid w:val="003C4138"/>
    <w:rsid w:val="003C43AF"/>
    <w:rsid w:val="003C571F"/>
    <w:rsid w:val="003C6293"/>
    <w:rsid w:val="003C67FA"/>
    <w:rsid w:val="003C73D3"/>
    <w:rsid w:val="003C7E62"/>
    <w:rsid w:val="003D0329"/>
    <w:rsid w:val="003D04D8"/>
    <w:rsid w:val="003D090A"/>
    <w:rsid w:val="003D119D"/>
    <w:rsid w:val="003D198D"/>
    <w:rsid w:val="003D1C6C"/>
    <w:rsid w:val="003D2129"/>
    <w:rsid w:val="003D221B"/>
    <w:rsid w:val="003D2C2A"/>
    <w:rsid w:val="003D2FE6"/>
    <w:rsid w:val="003D33F4"/>
    <w:rsid w:val="003D3E68"/>
    <w:rsid w:val="003D4DC4"/>
    <w:rsid w:val="003D5368"/>
    <w:rsid w:val="003D544E"/>
    <w:rsid w:val="003D566B"/>
    <w:rsid w:val="003D6582"/>
    <w:rsid w:val="003D6BB3"/>
    <w:rsid w:val="003D6C4E"/>
    <w:rsid w:val="003D74F6"/>
    <w:rsid w:val="003E034F"/>
    <w:rsid w:val="003E0395"/>
    <w:rsid w:val="003E103F"/>
    <w:rsid w:val="003E1184"/>
    <w:rsid w:val="003E197A"/>
    <w:rsid w:val="003E1C2D"/>
    <w:rsid w:val="003E1E73"/>
    <w:rsid w:val="003E28EE"/>
    <w:rsid w:val="003E2921"/>
    <w:rsid w:val="003E31C2"/>
    <w:rsid w:val="003E3276"/>
    <w:rsid w:val="003E343A"/>
    <w:rsid w:val="003E34E6"/>
    <w:rsid w:val="003E3794"/>
    <w:rsid w:val="003E3996"/>
    <w:rsid w:val="003E3BAF"/>
    <w:rsid w:val="003E3F90"/>
    <w:rsid w:val="003E4019"/>
    <w:rsid w:val="003E42B1"/>
    <w:rsid w:val="003E438E"/>
    <w:rsid w:val="003E47C5"/>
    <w:rsid w:val="003E50D9"/>
    <w:rsid w:val="003E5B86"/>
    <w:rsid w:val="003E5BAC"/>
    <w:rsid w:val="003E5E64"/>
    <w:rsid w:val="003E5FE7"/>
    <w:rsid w:val="003E6544"/>
    <w:rsid w:val="003E6617"/>
    <w:rsid w:val="003E6665"/>
    <w:rsid w:val="003E6889"/>
    <w:rsid w:val="003E6A70"/>
    <w:rsid w:val="003E7DD2"/>
    <w:rsid w:val="003E7EF3"/>
    <w:rsid w:val="003E7F36"/>
    <w:rsid w:val="003F1043"/>
    <w:rsid w:val="003F12DF"/>
    <w:rsid w:val="003F14A3"/>
    <w:rsid w:val="003F1820"/>
    <w:rsid w:val="003F1822"/>
    <w:rsid w:val="003F1CF3"/>
    <w:rsid w:val="003F1DD3"/>
    <w:rsid w:val="003F1E2F"/>
    <w:rsid w:val="003F1E90"/>
    <w:rsid w:val="003F2593"/>
    <w:rsid w:val="003F2A21"/>
    <w:rsid w:val="003F2E87"/>
    <w:rsid w:val="003F3869"/>
    <w:rsid w:val="003F3CFB"/>
    <w:rsid w:val="003F5586"/>
    <w:rsid w:val="003F5599"/>
    <w:rsid w:val="003F5D85"/>
    <w:rsid w:val="003F61D3"/>
    <w:rsid w:val="003F7F86"/>
    <w:rsid w:val="004002A7"/>
    <w:rsid w:val="0040042A"/>
    <w:rsid w:val="00400708"/>
    <w:rsid w:val="00400BEF"/>
    <w:rsid w:val="00401B70"/>
    <w:rsid w:val="00402136"/>
    <w:rsid w:val="00403109"/>
    <w:rsid w:val="00403580"/>
    <w:rsid w:val="00403601"/>
    <w:rsid w:val="00403A01"/>
    <w:rsid w:val="00404667"/>
    <w:rsid w:val="004051F9"/>
    <w:rsid w:val="00405870"/>
    <w:rsid w:val="00405948"/>
    <w:rsid w:val="00406C1B"/>
    <w:rsid w:val="00406C7C"/>
    <w:rsid w:val="0041011E"/>
    <w:rsid w:val="0041015D"/>
    <w:rsid w:val="0041036A"/>
    <w:rsid w:val="00410F46"/>
    <w:rsid w:val="00410FBF"/>
    <w:rsid w:val="00411818"/>
    <w:rsid w:val="00412525"/>
    <w:rsid w:val="0041295B"/>
    <w:rsid w:val="00412DE3"/>
    <w:rsid w:val="004133AA"/>
    <w:rsid w:val="00413BAD"/>
    <w:rsid w:val="00413E72"/>
    <w:rsid w:val="00414296"/>
    <w:rsid w:val="004148F3"/>
    <w:rsid w:val="00414EAB"/>
    <w:rsid w:val="004154B6"/>
    <w:rsid w:val="00415D44"/>
    <w:rsid w:val="00415DD6"/>
    <w:rsid w:val="0041642D"/>
    <w:rsid w:val="00416BFC"/>
    <w:rsid w:val="0041710D"/>
    <w:rsid w:val="00417595"/>
    <w:rsid w:val="00420427"/>
    <w:rsid w:val="00420C90"/>
    <w:rsid w:val="00421390"/>
    <w:rsid w:val="00421A6B"/>
    <w:rsid w:val="0042211B"/>
    <w:rsid w:val="004223B0"/>
    <w:rsid w:val="00422442"/>
    <w:rsid w:val="004224E8"/>
    <w:rsid w:val="004227CE"/>
    <w:rsid w:val="00423348"/>
    <w:rsid w:val="00423498"/>
    <w:rsid w:val="00423F01"/>
    <w:rsid w:val="0042489E"/>
    <w:rsid w:val="00425057"/>
    <w:rsid w:val="00425DA9"/>
    <w:rsid w:val="004267EF"/>
    <w:rsid w:val="004275C1"/>
    <w:rsid w:val="00427AC3"/>
    <w:rsid w:val="00427DD7"/>
    <w:rsid w:val="004300AC"/>
    <w:rsid w:val="004312E1"/>
    <w:rsid w:val="004320F3"/>
    <w:rsid w:val="004329DA"/>
    <w:rsid w:val="0043323F"/>
    <w:rsid w:val="00433E85"/>
    <w:rsid w:val="00433ED6"/>
    <w:rsid w:val="00435883"/>
    <w:rsid w:val="004361B5"/>
    <w:rsid w:val="0043640F"/>
    <w:rsid w:val="004369C9"/>
    <w:rsid w:val="00436DF0"/>
    <w:rsid w:val="00436F01"/>
    <w:rsid w:val="0043774F"/>
    <w:rsid w:val="00437C29"/>
    <w:rsid w:val="00437C65"/>
    <w:rsid w:val="00437D2A"/>
    <w:rsid w:val="00437EDA"/>
    <w:rsid w:val="004407DC"/>
    <w:rsid w:val="00440947"/>
    <w:rsid w:val="00440DCD"/>
    <w:rsid w:val="00441696"/>
    <w:rsid w:val="00441828"/>
    <w:rsid w:val="004418F1"/>
    <w:rsid w:val="0044212B"/>
    <w:rsid w:val="00442297"/>
    <w:rsid w:val="0044258D"/>
    <w:rsid w:val="004425DC"/>
    <w:rsid w:val="0044378C"/>
    <w:rsid w:val="00443D4B"/>
    <w:rsid w:val="00444357"/>
    <w:rsid w:val="004444F2"/>
    <w:rsid w:val="004449AF"/>
    <w:rsid w:val="00444AB2"/>
    <w:rsid w:val="00445030"/>
    <w:rsid w:val="004454E6"/>
    <w:rsid w:val="00445624"/>
    <w:rsid w:val="0044580F"/>
    <w:rsid w:val="00445A97"/>
    <w:rsid w:val="004461A7"/>
    <w:rsid w:val="00446690"/>
    <w:rsid w:val="00446D30"/>
    <w:rsid w:val="00446D61"/>
    <w:rsid w:val="00446EF2"/>
    <w:rsid w:val="0044743B"/>
    <w:rsid w:val="004474E6"/>
    <w:rsid w:val="004505E6"/>
    <w:rsid w:val="00450B32"/>
    <w:rsid w:val="0045145A"/>
    <w:rsid w:val="00451991"/>
    <w:rsid w:val="00452397"/>
    <w:rsid w:val="0045252B"/>
    <w:rsid w:val="004527F8"/>
    <w:rsid w:val="00452ABE"/>
    <w:rsid w:val="0045332D"/>
    <w:rsid w:val="00453B2D"/>
    <w:rsid w:val="00453C15"/>
    <w:rsid w:val="00454772"/>
    <w:rsid w:val="004547BC"/>
    <w:rsid w:val="004547DD"/>
    <w:rsid w:val="00455231"/>
    <w:rsid w:val="0045540F"/>
    <w:rsid w:val="004566FF"/>
    <w:rsid w:val="0045677C"/>
    <w:rsid w:val="004569C7"/>
    <w:rsid w:val="00456DA5"/>
    <w:rsid w:val="004570F2"/>
    <w:rsid w:val="00457ED0"/>
    <w:rsid w:val="0046038D"/>
    <w:rsid w:val="00460681"/>
    <w:rsid w:val="00460A64"/>
    <w:rsid w:val="00461977"/>
    <w:rsid w:val="00461A8A"/>
    <w:rsid w:val="004620E6"/>
    <w:rsid w:val="00462255"/>
    <w:rsid w:val="00462CD5"/>
    <w:rsid w:val="00463288"/>
    <w:rsid w:val="004633F6"/>
    <w:rsid w:val="0046353D"/>
    <w:rsid w:val="00463DEA"/>
    <w:rsid w:val="00463F4C"/>
    <w:rsid w:val="00463F5C"/>
    <w:rsid w:val="00464349"/>
    <w:rsid w:val="0046451C"/>
    <w:rsid w:val="00464620"/>
    <w:rsid w:val="0046464E"/>
    <w:rsid w:val="004647DF"/>
    <w:rsid w:val="00464DB7"/>
    <w:rsid w:val="00464E51"/>
    <w:rsid w:val="00464EFF"/>
    <w:rsid w:val="00465457"/>
    <w:rsid w:val="00465908"/>
    <w:rsid w:val="00465A41"/>
    <w:rsid w:val="00465BD8"/>
    <w:rsid w:val="00466215"/>
    <w:rsid w:val="00466407"/>
    <w:rsid w:val="0046672E"/>
    <w:rsid w:val="00466739"/>
    <w:rsid w:val="00466A4D"/>
    <w:rsid w:val="00466CD0"/>
    <w:rsid w:val="00466E9C"/>
    <w:rsid w:val="0046726D"/>
    <w:rsid w:val="0047087C"/>
    <w:rsid w:val="00470B64"/>
    <w:rsid w:val="00470B74"/>
    <w:rsid w:val="004711F0"/>
    <w:rsid w:val="004716D9"/>
    <w:rsid w:val="00471AA1"/>
    <w:rsid w:val="00471E74"/>
    <w:rsid w:val="00472253"/>
    <w:rsid w:val="00472256"/>
    <w:rsid w:val="00472D24"/>
    <w:rsid w:val="004735A4"/>
    <w:rsid w:val="00473620"/>
    <w:rsid w:val="00473B4D"/>
    <w:rsid w:val="00473C26"/>
    <w:rsid w:val="00473D96"/>
    <w:rsid w:val="00473EAA"/>
    <w:rsid w:val="0047404E"/>
    <w:rsid w:val="00474A2D"/>
    <w:rsid w:val="00474ED4"/>
    <w:rsid w:val="004750FE"/>
    <w:rsid w:val="004754AB"/>
    <w:rsid w:val="004758A9"/>
    <w:rsid w:val="00475DF9"/>
    <w:rsid w:val="004760D4"/>
    <w:rsid w:val="0047612B"/>
    <w:rsid w:val="00476DBE"/>
    <w:rsid w:val="004775BF"/>
    <w:rsid w:val="0048007E"/>
    <w:rsid w:val="00480345"/>
    <w:rsid w:val="0048062B"/>
    <w:rsid w:val="0048079D"/>
    <w:rsid w:val="00480960"/>
    <w:rsid w:val="004812AD"/>
    <w:rsid w:val="00481FF8"/>
    <w:rsid w:val="00482964"/>
    <w:rsid w:val="0048335C"/>
    <w:rsid w:val="0048356D"/>
    <w:rsid w:val="0048370C"/>
    <w:rsid w:val="0048371E"/>
    <w:rsid w:val="0048384E"/>
    <w:rsid w:val="00484063"/>
    <w:rsid w:val="0048479E"/>
    <w:rsid w:val="004849D0"/>
    <w:rsid w:val="0048540C"/>
    <w:rsid w:val="004854B4"/>
    <w:rsid w:val="00485E9E"/>
    <w:rsid w:val="00485F97"/>
    <w:rsid w:val="00486A82"/>
    <w:rsid w:val="00486F79"/>
    <w:rsid w:val="00487679"/>
    <w:rsid w:val="004906BC"/>
    <w:rsid w:val="00490BBC"/>
    <w:rsid w:val="00490CBB"/>
    <w:rsid w:val="00490DFA"/>
    <w:rsid w:val="004926B8"/>
    <w:rsid w:val="00492737"/>
    <w:rsid w:val="00492B28"/>
    <w:rsid w:val="00492C6F"/>
    <w:rsid w:val="004932B6"/>
    <w:rsid w:val="00493412"/>
    <w:rsid w:val="00493CE0"/>
    <w:rsid w:val="00493E00"/>
    <w:rsid w:val="00494080"/>
    <w:rsid w:val="00494598"/>
    <w:rsid w:val="0049466E"/>
    <w:rsid w:val="004946E4"/>
    <w:rsid w:val="004948AE"/>
    <w:rsid w:val="00494CB4"/>
    <w:rsid w:val="004951B5"/>
    <w:rsid w:val="004951D2"/>
    <w:rsid w:val="0049588B"/>
    <w:rsid w:val="00495FA5"/>
    <w:rsid w:val="00496ED6"/>
    <w:rsid w:val="00497740"/>
    <w:rsid w:val="0049779C"/>
    <w:rsid w:val="004977F2"/>
    <w:rsid w:val="00497AC2"/>
    <w:rsid w:val="00497EB8"/>
    <w:rsid w:val="004A0500"/>
    <w:rsid w:val="004A065B"/>
    <w:rsid w:val="004A06BC"/>
    <w:rsid w:val="004A0C00"/>
    <w:rsid w:val="004A1313"/>
    <w:rsid w:val="004A1373"/>
    <w:rsid w:val="004A1530"/>
    <w:rsid w:val="004A173B"/>
    <w:rsid w:val="004A1B37"/>
    <w:rsid w:val="004A1CB0"/>
    <w:rsid w:val="004A209F"/>
    <w:rsid w:val="004A2C0E"/>
    <w:rsid w:val="004A2DD8"/>
    <w:rsid w:val="004A383F"/>
    <w:rsid w:val="004A4271"/>
    <w:rsid w:val="004A44A0"/>
    <w:rsid w:val="004A48F0"/>
    <w:rsid w:val="004A4B64"/>
    <w:rsid w:val="004A5579"/>
    <w:rsid w:val="004A56BB"/>
    <w:rsid w:val="004A57B2"/>
    <w:rsid w:val="004A5A2D"/>
    <w:rsid w:val="004A5E23"/>
    <w:rsid w:val="004A6563"/>
    <w:rsid w:val="004A67D1"/>
    <w:rsid w:val="004A6AE7"/>
    <w:rsid w:val="004A6AED"/>
    <w:rsid w:val="004A6EEE"/>
    <w:rsid w:val="004A729F"/>
    <w:rsid w:val="004A7351"/>
    <w:rsid w:val="004A7602"/>
    <w:rsid w:val="004A7A02"/>
    <w:rsid w:val="004A7CDD"/>
    <w:rsid w:val="004B017A"/>
    <w:rsid w:val="004B0606"/>
    <w:rsid w:val="004B0B8F"/>
    <w:rsid w:val="004B0F28"/>
    <w:rsid w:val="004B15E5"/>
    <w:rsid w:val="004B1CF8"/>
    <w:rsid w:val="004B1EB9"/>
    <w:rsid w:val="004B2012"/>
    <w:rsid w:val="004B21CE"/>
    <w:rsid w:val="004B21F5"/>
    <w:rsid w:val="004B2321"/>
    <w:rsid w:val="004B2581"/>
    <w:rsid w:val="004B4339"/>
    <w:rsid w:val="004B48BB"/>
    <w:rsid w:val="004B4AEF"/>
    <w:rsid w:val="004B50A4"/>
    <w:rsid w:val="004B5B4C"/>
    <w:rsid w:val="004B5F12"/>
    <w:rsid w:val="004B66B3"/>
    <w:rsid w:val="004B67E3"/>
    <w:rsid w:val="004B6CF7"/>
    <w:rsid w:val="004B7506"/>
    <w:rsid w:val="004B76A9"/>
    <w:rsid w:val="004B775C"/>
    <w:rsid w:val="004B7A30"/>
    <w:rsid w:val="004C0214"/>
    <w:rsid w:val="004C02C4"/>
    <w:rsid w:val="004C1D27"/>
    <w:rsid w:val="004C1FFD"/>
    <w:rsid w:val="004C228C"/>
    <w:rsid w:val="004C229D"/>
    <w:rsid w:val="004C2AE3"/>
    <w:rsid w:val="004C2BCA"/>
    <w:rsid w:val="004C4AB9"/>
    <w:rsid w:val="004C4C90"/>
    <w:rsid w:val="004C5CC9"/>
    <w:rsid w:val="004C7549"/>
    <w:rsid w:val="004C757F"/>
    <w:rsid w:val="004C75DD"/>
    <w:rsid w:val="004C7BB2"/>
    <w:rsid w:val="004C7D68"/>
    <w:rsid w:val="004D02AA"/>
    <w:rsid w:val="004D036B"/>
    <w:rsid w:val="004D0479"/>
    <w:rsid w:val="004D0DBD"/>
    <w:rsid w:val="004D0FAA"/>
    <w:rsid w:val="004D1F14"/>
    <w:rsid w:val="004D2121"/>
    <w:rsid w:val="004D2471"/>
    <w:rsid w:val="004D3591"/>
    <w:rsid w:val="004D412C"/>
    <w:rsid w:val="004D48D0"/>
    <w:rsid w:val="004D4AE6"/>
    <w:rsid w:val="004D53F2"/>
    <w:rsid w:val="004D5CE3"/>
    <w:rsid w:val="004D5D14"/>
    <w:rsid w:val="004D7451"/>
    <w:rsid w:val="004D7EA4"/>
    <w:rsid w:val="004E00EE"/>
    <w:rsid w:val="004E0248"/>
    <w:rsid w:val="004E10D9"/>
    <w:rsid w:val="004E10F4"/>
    <w:rsid w:val="004E1A61"/>
    <w:rsid w:val="004E28C0"/>
    <w:rsid w:val="004E28E2"/>
    <w:rsid w:val="004E2936"/>
    <w:rsid w:val="004E2999"/>
    <w:rsid w:val="004E29CE"/>
    <w:rsid w:val="004E2BD3"/>
    <w:rsid w:val="004E31E5"/>
    <w:rsid w:val="004E38AE"/>
    <w:rsid w:val="004E404B"/>
    <w:rsid w:val="004E4800"/>
    <w:rsid w:val="004E494E"/>
    <w:rsid w:val="004E59C4"/>
    <w:rsid w:val="004E5A97"/>
    <w:rsid w:val="004E62DD"/>
    <w:rsid w:val="004E6C52"/>
    <w:rsid w:val="004E7269"/>
    <w:rsid w:val="004E74C7"/>
    <w:rsid w:val="004E74CB"/>
    <w:rsid w:val="004E7606"/>
    <w:rsid w:val="004E7AAA"/>
    <w:rsid w:val="004F0014"/>
    <w:rsid w:val="004F0046"/>
    <w:rsid w:val="004F0103"/>
    <w:rsid w:val="004F040D"/>
    <w:rsid w:val="004F0765"/>
    <w:rsid w:val="004F13B7"/>
    <w:rsid w:val="004F1464"/>
    <w:rsid w:val="004F161B"/>
    <w:rsid w:val="004F1F6D"/>
    <w:rsid w:val="004F2C64"/>
    <w:rsid w:val="004F2F8D"/>
    <w:rsid w:val="004F2FA4"/>
    <w:rsid w:val="004F319D"/>
    <w:rsid w:val="004F38C1"/>
    <w:rsid w:val="004F3ACE"/>
    <w:rsid w:val="004F3B6A"/>
    <w:rsid w:val="004F438E"/>
    <w:rsid w:val="004F4F76"/>
    <w:rsid w:val="004F5680"/>
    <w:rsid w:val="004F669D"/>
    <w:rsid w:val="004F6884"/>
    <w:rsid w:val="004F694D"/>
    <w:rsid w:val="004F6AAD"/>
    <w:rsid w:val="005002BB"/>
    <w:rsid w:val="00500ACB"/>
    <w:rsid w:val="00500E51"/>
    <w:rsid w:val="00500F9D"/>
    <w:rsid w:val="0050131F"/>
    <w:rsid w:val="005017D2"/>
    <w:rsid w:val="0050190B"/>
    <w:rsid w:val="00501AA1"/>
    <w:rsid w:val="0050242C"/>
    <w:rsid w:val="00502B48"/>
    <w:rsid w:val="00502B52"/>
    <w:rsid w:val="00502D15"/>
    <w:rsid w:val="00502FE8"/>
    <w:rsid w:val="005033AA"/>
    <w:rsid w:val="00503BF1"/>
    <w:rsid w:val="00503FA7"/>
    <w:rsid w:val="00503FAC"/>
    <w:rsid w:val="00504444"/>
    <w:rsid w:val="00504962"/>
    <w:rsid w:val="0050498A"/>
    <w:rsid w:val="00504B98"/>
    <w:rsid w:val="00504E29"/>
    <w:rsid w:val="005054C0"/>
    <w:rsid w:val="00505A11"/>
    <w:rsid w:val="00505AD0"/>
    <w:rsid w:val="0050601C"/>
    <w:rsid w:val="0050631A"/>
    <w:rsid w:val="00506460"/>
    <w:rsid w:val="005070AB"/>
    <w:rsid w:val="005072E7"/>
    <w:rsid w:val="005077DF"/>
    <w:rsid w:val="00507A81"/>
    <w:rsid w:val="0051006C"/>
    <w:rsid w:val="005103D8"/>
    <w:rsid w:val="00510685"/>
    <w:rsid w:val="0051149D"/>
    <w:rsid w:val="00511C08"/>
    <w:rsid w:val="00511D15"/>
    <w:rsid w:val="00511D5B"/>
    <w:rsid w:val="005121A5"/>
    <w:rsid w:val="00512372"/>
    <w:rsid w:val="00513A47"/>
    <w:rsid w:val="00513F17"/>
    <w:rsid w:val="0051466F"/>
    <w:rsid w:val="005147C6"/>
    <w:rsid w:val="005149B9"/>
    <w:rsid w:val="0051551A"/>
    <w:rsid w:val="00515FCC"/>
    <w:rsid w:val="00515FF8"/>
    <w:rsid w:val="0051668F"/>
    <w:rsid w:val="0051674D"/>
    <w:rsid w:val="005168DD"/>
    <w:rsid w:val="00516A67"/>
    <w:rsid w:val="00516ED9"/>
    <w:rsid w:val="00516FCA"/>
    <w:rsid w:val="00517134"/>
    <w:rsid w:val="005177B8"/>
    <w:rsid w:val="005201FA"/>
    <w:rsid w:val="00520429"/>
    <w:rsid w:val="0052051D"/>
    <w:rsid w:val="0052065C"/>
    <w:rsid w:val="00520C33"/>
    <w:rsid w:val="00520FED"/>
    <w:rsid w:val="00521E04"/>
    <w:rsid w:val="00522BD1"/>
    <w:rsid w:val="00522C4A"/>
    <w:rsid w:val="00522C95"/>
    <w:rsid w:val="005231DD"/>
    <w:rsid w:val="00523A0B"/>
    <w:rsid w:val="00523A74"/>
    <w:rsid w:val="00523D4E"/>
    <w:rsid w:val="00523F53"/>
    <w:rsid w:val="00524867"/>
    <w:rsid w:val="005249A8"/>
    <w:rsid w:val="00524F50"/>
    <w:rsid w:val="00525179"/>
    <w:rsid w:val="00525257"/>
    <w:rsid w:val="00525856"/>
    <w:rsid w:val="00525F3E"/>
    <w:rsid w:val="00526585"/>
    <w:rsid w:val="005267C9"/>
    <w:rsid w:val="005268EE"/>
    <w:rsid w:val="00526B1E"/>
    <w:rsid w:val="00527851"/>
    <w:rsid w:val="00527CC0"/>
    <w:rsid w:val="005304BC"/>
    <w:rsid w:val="00530609"/>
    <w:rsid w:val="005319D7"/>
    <w:rsid w:val="00531B66"/>
    <w:rsid w:val="00532CC7"/>
    <w:rsid w:val="00532F8B"/>
    <w:rsid w:val="00532FE4"/>
    <w:rsid w:val="00533C05"/>
    <w:rsid w:val="00533CD7"/>
    <w:rsid w:val="00533E80"/>
    <w:rsid w:val="00534203"/>
    <w:rsid w:val="0053447D"/>
    <w:rsid w:val="00534A21"/>
    <w:rsid w:val="00534B46"/>
    <w:rsid w:val="0053550E"/>
    <w:rsid w:val="0053555B"/>
    <w:rsid w:val="00535626"/>
    <w:rsid w:val="0053586E"/>
    <w:rsid w:val="005358D3"/>
    <w:rsid w:val="00535AA2"/>
    <w:rsid w:val="00535BB9"/>
    <w:rsid w:val="00535DFD"/>
    <w:rsid w:val="00535E33"/>
    <w:rsid w:val="00535E7D"/>
    <w:rsid w:val="005362A3"/>
    <w:rsid w:val="00536386"/>
    <w:rsid w:val="00537073"/>
    <w:rsid w:val="005372ED"/>
    <w:rsid w:val="0054049A"/>
    <w:rsid w:val="005405F2"/>
    <w:rsid w:val="00540D4D"/>
    <w:rsid w:val="00541382"/>
    <w:rsid w:val="005414FB"/>
    <w:rsid w:val="00541AA2"/>
    <w:rsid w:val="005422E8"/>
    <w:rsid w:val="00542613"/>
    <w:rsid w:val="00542687"/>
    <w:rsid w:val="00544567"/>
    <w:rsid w:val="0054480E"/>
    <w:rsid w:val="00544F83"/>
    <w:rsid w:val="0054546E"/>
    <w:rsid w:val="0054588D"/>
    <w:rsid w:val="00545CF5"/>
    <w:rsid w:val="005465FA"/>
    <w:rsid w:val="005468F4"/>
    <w:rsid w:val="00546AC4"/>
    <w:rsid w:val="00547358"/>
    <w:rsid w:val="00547383"/>
    <w:rsid w:val="00547817"/>
    <w:rsid w:val="00547868"/>
    <w:rsid w:val="0055022D"/>
    <w:rsid w:val="00550230"/>
    <w:rsid w:val="00550C06"/>
    <w:rsid w:val="00551235"/>
    <w:rsid w:val="005515C7"/>
    <w:rsid w:val="00551D12"/>
    <w:rsid w:val="0055213B"/>
    <w:rsid w:val="005529D5"/>
    <w:rsid w:val="00552E29"/>
    <w:rsid w:val="00552EA2"/>
    <w:rsid w:val="005534E8"/>
    <w:rsid w:val="0055386A"/>
    <w:rsid w:val="00553C6F"/>
    <w:rsid w:val="00554485"/>
    <w:rsid w:val="00554D51"/>
    <w:rsid w:val="00555270"/>
    <w:rsid w:val="005554B2"/>
    <w:rsid w:val="005556A5"/>
    <w:rsid w:val="00555B8A"/>
    <w:rsid w:val="00557058"/>
    <w:rsid w:val="005573AD"/>
    <w:rsid w:val="005574F2"/>
    <w:rsid w:val="0055789B"/>
    <w:rsid w:val="00557DF5"/>
    <w:rsid w:val="005605CD"/>
    <w:rsid w:val="005605CF"/>
    <w:rsid w:val="00560767"/>
    <w:rsid w:val="005609E7"/>
    <w:rsid w:val="00560A2E"/>
    <w:rsid w:val="00560F3A"/>
    <w:rsid w:val="00561551"/>
    <w:rsid w:val="00561A77"/>
    <w:rsid w:val="00561ADC"/>
    <w:rsid w:val="00561F11"/>
    <w:rsid w:val="00561F9C"/>
    <w:rsid w:val="005620AF"/>
    <w:rsid w:val="005623B7"/>
    <w:rsid w:val="0056288C"/>
    <w:rsid w:val="00563533"/>
    <w:rsid w:val="00563787"/>
    <w:rsid w:val="0056419D"/>
    <w:rsid w:val="005646F9"/>
    <w:rsid w:val="00565737"/>
    <w:rsid w:val="005658EA"/>
    <w:rsid w:val="00565C7E"/>
    <w:rsid w:val="00565E4C"/>
    <w:rsid w:val="0056603D"/>
    <w:rsid w:val="005662A0"/>
    <w:rsid w:val="005663B3"/>
    <w:rsid w:val="0056651E"/>
    <w:rsid w:val="005666E8"/>
    <w:rsid w:val="0056689B"/>
    <w:rsid w:val="005668E8"/>
    <w:rsid w:val="00566B1C"/>
    <w:rsid w:val="00566E9A"/>
    <w:rsid w:val="0056709F"/>
    <w:rsid w:val="00567339"/>
    <w:rsid w:val="005676E5"/>
    <w:rsid w:val="005703A7"/>
    <w:rsid w:val="00570C7E"/>
    <w:rsid w:val="005714E6"/>
    <w:rsid w:val="0057205B"/>
    <w:rsid w:val="0057287D"/>
    <w:rsid w:val="005732C3"/>
    <w:rsid w:val="005735F9"/>
    <w:rsid w:val="005737E2"/>
    <w:rsid w:val="005743A9"/>
    <w:rsid w:val="00574E02"/>
    <w:rsid w:val="005750A6"/>
    <w:rsid w:val="00575205"/>
    <w:rsid w:val="00575865"/>
    <w:rsid w:val="00575B7F"/>
    <w:rsid w:val="00575E91"/>
    <w:rsid w:val="00576822"/>
    <w:rsid w:val="0057780B"/>
    <w:rsid w:val="00577D1A"/>
    <w:rsid w:val="0058062A"/>
    <w:rsid w:val="00581FF9"/>
    <w:rsid w:val="00582120"/>
    <w:rsid w:val="0058284B"/>
    <w:rsid w:val="00582A36"/>
    <w:rsid w:val="00582BC3"/>
    <w:rsid w:val="00583151"/>
    <w:rsid w:val="005833DE"/>
    <w:rsid w:val="005837F2"/>
    <w:rsid w:val="005842BA"/>
    <w:rsid w:val="00585470"/>
    <w:rsid w:val="0058590D"/>
    <w:rsid w:val="00585B41"/>
    <w:rsid w:val="00586286"/>
    <w:rsid w:val="00587AFB"/>
    <w:rsid w:val="00590295"/>
    <w:rsid w:val="005902D0"/>
    <w:rsid w:val="00590C1F"/>
    <w:rsid w:val="00591E2B"/>
    <w:rsid w:val="005922DD"/>
    <w:rsid w:val="00592E89"/>
    <w:rsid w:val="00592EB6"/>
    <w:rsid w:val="00592F16"/>
    <w:rsid w:val="005934F2"/>
    <w:rsid w:val="00593CA9"/>
    <w:rsid w:val="00593D23"/>
    <w:rsid w:val="00594569"/>
    <w:rsid w:val="005952EF"/>
    <w:rsid w:val="005957BB"/>
    <w:rsid w:val="00595886"/>
    <w:rsid w:val="00595A1E"/>
    <w:rsid w:val="00595EBD"/>
    <w:rsid w:val="0059641B"/>
    <w:rsid w:val="005964C3"/>
    <w:rsid w:val="00596799"/>
    <w:rsid w:val="00596BFC"/>
    <w:rsid w:val="00596CA7"/>
    <w:rsid w:val="00596CF7"/>
    <w:rsid w:val="00596E19"/>
    <w:rsid w:val="00597722"/>
    <w:rsid w:val="00597795"/>
    <w:rsid w:val="00597816"/>
    <w:rsid w:val="00597983"/>
    <w:rsid w:val="00597B58"/>
    <w:rsid w:val="005A0142"/>
    <w:rsid w:val="005A0438"/>
    <w:rsid w:val="005A1824"/>
    <w:rsid w:val="005A1FC4"/>
    <w:rsid w:val="005A212A"/>
    <w:rsid w:val="005A216A"/>
    <w:rsid w:val="005A2A6C"/>
    <w:rsid w:val="005A3147"/>
    <w:rsid w:val="005A356F"/>
    <w:rsid w:val="005A4A94"/>
    <w:rsid w:val="005A4C32"/>
    <w:rsid w:val="005A5082"/>
    <w:rsid w:val="005A520C"/>
    <w:rsid w:val="005A523E"/>
    <w:rsid w:val="005A5741"/>
    <w:rsid w:val="005A5C89"/>
    <w:rsid w:val="005A66A0"/>
    <w:rsid w:val="005A69ED"/>
    <w:rsid w:val="005A78D1"/>
    <w:rsid w:val="005A7ABE"/>
    <w:rsid w:val="005A7D99"/>
    <w:rsid w:val="005A7FEC"/>
    <w:rsid w:val="005B0227"/>
    <w:rsid w:val="005B0306"/>
    <w:rsid w:val="005B04DE"/>
    <w:rsid w:val="005B0536"/>
    <w:rsid w:val="005B0DF5"/>
    <w:rsid w:val="005B129A"/>
    <w:rsid w:val="005B1967"/>
    <w:rsid w:val="005B1CC3"/>
    <w:rsid w:val="005B1E2B"/>
    <w:rsid w:val="005B2266"/>
    <w:rsid w:val="005B27C3"/>
    <w:rsid w:val="005B28FC"/>
    <w:rsid w:val="005B299A"/>
    <w:rsid w:val="005B2FCE"/>
    <w:rsid w:val="005B3339"/>
    <w:rsid w:val="005B3912"/>
    <w:rsid w:val="005B3A6D"/>
    <w:rsid w:val="005B44DC"/>
    <w:rsid w:val="005B475A"/>
    <w:rsid w:val="005B4C9C"/>
    <w:rsid w:val="005B50D6"/>
    <w:rsid w:val="005B53F2"/>
    <w:rsid w:val="005B6C80"/>
    <w:rsid w:val="005B7767"/>
    <w:rsid w:val="005B79A7"/>
    <w:rsid w:val="005C0F9B"/>
    <w:rsid w:val="005C13C7"/>
    <w:rsid w:val="005C1B5F"/>
    <w:rsid w:val="005C1DFD"/>
    <w:rsid w:val="005C1FE4"/>
    <w:rsid w:val="005C22AE"/>
    <w:rsid w:val="005C25EF"/>
    <w:rsid w:val="005C2E1B"/>
    <w:rsid w:val="005C2FDA"/>
    <w:rsid w:val="005C338A"/>
    <w:rsid w:val="005C37A1"/>
    <w:rsid w:val="005C3D62"/>
    <w:rsid w:val="005C418E"/>
    <w:rsid w:val="005C57C1"/>
    <w:rsid w:val="005C6971"/>
    <w:rsid w:val="005C731A"/>
    <w:rsid w:val="005C78AC"/>
    <w:rsid w:val="005C7914"/>
    <w:rsid w:val="005C7B11"/>
    <w:rsid w:val="005D009E"/>
    <w:rsid w:val="005D01D8"/>
    <w:rsid w:val="005D0D0D"/>
    <w:rsid w:val="005D0D21"/>
    <w:rsid w:val="005D0EDB"/>
    <w:rsid w:val="005D11A5"/>
    <w:rsid w:val="005D1F11"/>
    <w:rsid w:val="005D20CC"/>
    <w:rsid w:val="005D24F7"/>
    <w:rsid w:val="005D3108"/>
    <w:rsid w:val="005D32E7"/>
    <w:rsid w:val="005D361F"/>
    <w:rsid w:val="005D3FC1"/>
    <w:rsid w:val="005D4E3E"/>
    <w:rsid w:val="005D5B21"/>
    <w:rsid w:val="005D67E3"/>
    <w:rsid w:val="005D6EA9"/>
    <w:rsid w:val="005D794C"/>
    <w:rsid w:val="005D7A3F"/>
    <w:rsid w:val="005D7E7C"/>
    <w:rsid w:val="005E0030"/>
    <w:rsid w:val="005E01B7"/>
    <w:rsid w:val="005E01BA"/>
    <w:rsid w:val="005E045D"/>
    <w:rsid w:val="005E0494"/>
    <w:rsid w:val="005E0902"/>
    <w:rsid w:val="005E0918"/>
    <w:rsid w:val="005E12C5"/>
    <w:rsid w:val="005E2005"/>
    <w:rsid w:val="005E25D8"/>
    <w:rsid w:val="005E2CA2"/>
    <w:rsid w:val="005E2DB8"/>
    <w:rsid w:val="005E2F40"/>
    <w:rsid w:val="005E4478"/>
    <w:rsid w:val="005E576F"/>
    <w:rsid w:val="005E5B67"/>
    <w:rsid w:val="005E5C5B"/>
    <w:rsid w:val="005E5E16"/>
    <w:rsid w:val="005E639E"/>
    <w:rsid w:val="005E662E"/>
    <w:rsid w:val="005E66B7"/>
    <w:rsid w:val="005E6767"/>
    <w:rsid w:val="005E6C18"/>
    <w:rsid w:val="005E7817"/>
    <w:rsid w:val="005E7B0D"/>
    <w:rsid w:val="005E7C47"/>
    <w:rsid w:val="005F08C8"/>
    <w:rsid w:val="005F0BAB"/>
    <w:rsid w:val="005F0E45"/>
    <w:rsid w:val="005F11BF"/>
    <w:rsid w:val="005F1486"/>
    <w:rsid w:val="005F1622"/>
    <w:rsid w:val="005F1F79"/>
    <w:rsid w:val="005F2BA1"/>
    <w:rsid w:val="005F39AB"/>
    <w:rsid w:val="005F446E"/>
    <w:rsid w:val="005F4ADF"/>
    <w:rsid w:val="005F4E52"/>
    <w:rsid w:val="005F5261"/>
    <w:rsid w:val="005F55FB"/>
    <w:rsid w:val="005F5A38"/>
    <w:rsid w:val="005F5CD8"/>
    <w:rsid w:val="005F5DE4"/>
    <w:rsid w:val="005F612A"/>
    <w:rsid w:val="005F67A6"/>
    <w:rsid w:val="005F6A83"/>
    <w:rsid w:val="005F6AB0"/>
    <w:rsid w:val="005F7234"/>
    <w:rsid w:val="005F7267"/>
    <w:rsid w:val="005F74D9"/>
    <w:rsid w:val="005F7B7B"/>
    <w:rsid w:val="006005C2"/>
    <w:rsid w:val="00600987"/>
    <w:rsid w:val="00600B1B"/>
    <w:rsid w:val="00601490"/>
    <w:rsid w:val="00601622"/>
    <w:rsid w:val="006021F9"/>
    <w:rsid w:val="00603449"/>
    <w:rsid w:val="00603A43"/>
    <w:rsid w:val="006043F8"/>
    <w:rsid w:val="00604F3D"/>
    <w:rsid w:val="00605831"/>
    <w:rsid w:val="006058E1"/>
    <w:rsid w:val="006059B2"/>
    <w:rsid w:val="00605B7E"/>
    <w:rsid w:val="00605C86"/>
    <w:rsid w:val="006069AB"/>
    <w:rsid w:val="00606BDF"/>
    <w:rsid w:val="00606D61"/>
    <w:rsid w:val="00607447"/>
    <w:rsid w:val="00607628"/>
    <w:rsid w:val="00607BFA"/>
    <w:rsid w:val="0061002C"/>
    <w:rsid w:val="00610081"/>
    <w:rsid w:val="006100FD"/>
    <w:rsid w:val="00610499"/>
    <w:rsid w:val="00610574"/>
    <w:rsid w:val="006109D0"/>
    <w:rsid w:val="00610E19"/>
    <w:rsid w:val="0061137A"/>
    <w:rsid w:val="00611383"/>
    <w:rsid w:val="00611EC0"/>
    <w:rsid w:val="006131B3"/>
    <w:rsid w:val="0061321D"/>
    <w:rsid w:val="00613492"/>
    <w:rsid w:val="0061374A"/>
    <w:rsid w:val="006142D5"/>
    <w:rsid w:val="0061447F"/>
    <w:rsid w:val="00614B33"/>
    <w:rsid w:val="00615313"/>
    <w:rsid w:val="00615D81"/>
    <w:rsid w:val="00615ECB"/>
    <w:rsid w:val="00616722"/>
    <w:rsid w:val="00616FFD"/>
    <w:rsid w:val="00617D5C"/>
    <w:rsid w:val="00620B4C"/>
    <w:rsid w:val="00620C90"/>
    <w:rsid w:val="00620F51"/>
    <w:rsid w:val="00621083"/>
    <w:rsid w:val="006212B0"/>
    <w:rsid w:val="00621301"/>
    <w:rsid w:val="00621402"/>
    <w:rsid w:val="00621814"/>
    <w:rsid w:val="00621847"/>
    <w:rsid w:val="00621989"/>
    <w:rsid w:val="00621E45"/>
    <w:rsid w:val="00622056"/>
    <w:rsid w:val="006220FE"/>
    <w:rsid w:val="0062236B"/>
    <w:rsid w:val="00622968"/>
    <w:rsid w:val="00623299"/>
    <w:rsid w:val="006232BC"/>
    <w:rsid w:val="00623E80"/>
    <w:rsid w:val="00624186"/>
    <w:rsid w:val="006245B7"/>
    <w:rsid w:val="006254AE"/>
    <w:rsid w:val="00625A2F"/>
    <w:rsid w:val="00625BD9"/>
    <w:rsid w:val="00625BEA"/>
    <w:rsid w:val="006262A5"/>
    <w:rsid w:val="00626300"/>
    <w:rsid w:val="006273C0"/>
    <w:rsid w:val="0063011A"/>
    <w:rsid w:val="00631140"/>
    <w:rsid w:val="00631607"/>
    <w:rsid w:val="00631740"/>
    <w:rsid w:val="00631CB3"/>
    <w:rsid w:val="00631D9E"/>
    <w:rsid w:val="006322B3"/>
    <w:rsid w:val="006333ED"/>
    <w:rsid w:val="006338D9"/>
    <w:rsid w:val="0063421F"/>
    <w:rsid w:val="0063425F"/>
    <w:rsid w:val="00634298"/>
    <w:rsid w:val="0063463F"/>
    <w:rsid w:val="00634AFB"/>
    <w:rsid w:val="00634C01"/>
    <w:rsid w:val="00634CDE"/>
    <w:rsid w:val="0063529D"/>
    <w:rsid w:val="0063593F"/>
    <w:rsid w:val="00635C78"/>
    <w:rsid w:val="00635DD0"/>
    <w:rsid w:val="006364F2"/>
    <w:rsid w:val="0063671C"/>
    <w:rsid w:val="00636AB9"/>
    <w:rsid w:val="00637FFD"/>
    <w:rsid w:val="00640B5D"/>
    <w:rsid w:val="006413B5"/>
    <w:rsid w:val="00642571"/>
    <w:rsid w:val="00642582"/>
    <w:rsid w:val="006426C3"/>
    <w:rsid w:val="00642A93"/>
    <w:rsid w:val="00643070"/>
    <w:rsid w:val="006430C2"/>
    <w:rsid w:val="006438D8"/>
    <w:rsid w:val="00644696"/>
    <w:rsid w:val="006455D0"/>
    <w:rsid w:val="006455F7"/>
    <w:rsid w:val="006458D3"/>
    <w:rsid w:val="00645DA0"/>
    <w:rsid w:val="0064690C"/>
    <w:rsid w:val="00646962"/>
    <w:rsid w:val="00646F5C"/>
    <w:rsid w:val="006472F9"/>
    <w:rsid w:val="0064762F"/>
    <w:rsid w:val="00647FB5"/>
    <w:rsid w:val="0065006D"/>
    <w:rsid w:val="00650B20"/>
    <w:rsid w:val="00650D50"/>
    <w:rsid w:val="0065124B"/>
    <w:rsid w:val="006513D9"/>
    <w:rsid w:val="00651A1B"/>
    <w:rsid w:val="00651A5E"/>
    <w:rsid w:val="00651B56"/>
    <w:rsid w:val="00651BE5"/>
    <w:rsid w:val="00651C97"/>
    <w:rsid w:val="00652D9A"/>
    <w:rsid w:val="00652F38"/>
    <w:rsid w:val="00653181"/>
    <w:rsid w:val="0065326E"/>
    <w:rsid w:val="006539CF"/>
    <w:rsid w:val="00653C44"/>
    <w:rsid w:val="00653D03"/>
    <w:rsid w:val="00653EDC"/>
    <w:rsid w:val="00654765"/>
    <w:rsid w:val="00654A60"/>
    <w:rsid w:val="00654E0E"/>
    <w:rsid w:val="00654E65"/>
    <w:rsid w:val="00654F68"/>
    <w:rsid w:val="00655163"/>
    <w:rsid w:val="00655DD8"/>
    <w:rsid w:val="00655F73"/>
    <w:rsid w:val="006565CF"/>
    <w:rsid w:val="00656D46"/>
    <w:rsid w:val="00656D73"/>
    <w:rsid w:val="00656DD3"/>
    <w:rsid w:val="00657519"/>
    <w:rsid w:val="00657CC8"/>
    <w:rsid w:val="00657E23"/>
    <w:rsid w:val="00660048"/>
    <w:rsid w:val="00660480"/>
    <w:rsid w:val="00660899"/>
    <w:rsid w:val="0066112A"/>
    <w:rsid w:val="00661324"/>
    <w:rsid w:val="0066178F"/>
    <w:rsid w:val="0066197B"/>
    <w:rsid w:val="00662C53"/>
    <w:rsid w:val="006631BB"/>
    <w:rsid w:val="00663370"/>
    <w:rsid w:val="006637AD"/>
    <w:rsid w:val="00663A18"/>
    <w:rsid w:val="00663A28"/>
    <w:rsid w:val="00664427"/>
    <w:rsid w:val="0066485D"/>
    <w:rsid w:val="00664F76"/>
    <w:rsid w:val="006651F1"/>
    <w:rsid w:val="00665E89"/>
    <w:rsid w:val="00665F00"/>
    <w:rsid w:val="00666CD9"/>
    <w:rsid w:val="00666E85"/>
    <w:rsid w:val="00667DED"/>
    <w:rsid w:val="00670383"/>
    <w:rsid w:val="006704F0"/>
    <w:rsid w:val="00670B91"/>
    <w:rsid w:val="00670B99"/>
    <w:rsid w:val="00670C83"/>
    <w:rsid w:val="00671368"/>
    <w:rsid w:val="0067140E"/>
    <w:rsid w:val="00671534"/>
    <w:rsid w:val="00671744"/>
    <w:rsid w:val="0067185D"/>
    <w:rsid w:val="00671A01"/>
    <w:rsid w:val="00672133"/>
    <w:rsid w:val="006725EB"/>
    <w:rsid w:val="00673035"/>
    <w:rsid w:val="0067305C"/>
    <w:rsid w:val="00673943"/>
    <w:rsid w:val="00673B40"/>
    <w:rsid w:val="00673ECE"/>
    <w:rsid w:val="00674040"/>
    <w:rsid w:val="006740E7"/>
    <w:rsid w:val="00674122"/>
    <w:rsid w:val="006741A2"/>
    <w:rsid w:val="0067420E"/>
    <w:rsid w:val="006745B2"/>
    <w:rsid w:val="0067484F"/>
    <w:rsid w:val="0067491B"/>
    <w:rsid w:val="00674A96"/>
    <w:rsid w:val="00675A7E"/>
    <w:rsid w:val="0067684D"/>
    <w:rsid w:val="0067687A"/>
    <w:rsid w:val="00676C46"/>
    <w:rsid w:val="00677662"/>
    <w:rsid w:val="006776D1"/>
    <w:rsid w:val="0067775C"/>
    <w:rsid w:val="00680E28"/>
    <w:rsid w:val="006812EE"/>
    <w:rsid w:val="00681FB6"/>
    <w:rsid w:val="006825F1"/>
    <w:rsid w:val="00683277"/>
    <w:rsid w:val="00683AB8"/>
    <w:rsid w:val="0068441F"/>
    <w:rsid w:val="006847D3"/>
    <w:rsid w:val="006848E4"/>
    <w:rsid w:val="0068512D"/>
    <w:rsid w:val="0068590D"/>
    <w:rsid w:val="006859E5"/>
    <w:rsid w:val="00685A94"/>
    <w:rsid w:val="00685CA3"/>
    <w:rsid w:val="006862AB"/>
    <w:rsid w:val="00687E70"/>
    <w:rsid w:val="006903E8"/>
    <w:rsid w:val="00690CB5"/>
    <w:rsid w:val="006912AE"/>
    <w:rsid w:val="0069155C"/>
    <w:rsid w:val="00692016"/>
    <w:rsid w:val="0069228D"/>
    <w:rsid w:val="00692377"/>
    <w:rsid w:val="00693511"/>
    <w:rsid w:val="00693990"/>
    <w:rsid w:val="00693EEF"/>
    <w:rsid w:val="00694935"/>
    <w:rsid w:val="006949AB"/>
    <w:rsid w:val="00694A2D"/>
    <w:rsid w:val="00694DEF"/>
    <w:rsid w:val="00695373"/>
    <w:rsid w:val="006959D4"/>
    <w:rsid w:val="006959F2"/>
    <w:rsid w:val="00695C23"/>
    <w:rsid w:val="00695EA2"/>
    <w:rsid w:val="0069622E"/>
    <w:rsid w:val="00696A83"/>
    <w:rsid w:val="0069710B"/>
    <w:rsid w:val="0069773E"/>
    <w:rsid w:val="006977DB"/>
    <w:rsid w:val="006A05AB"/>
    <w:rsid w:val="006A05CF"/>
    <w:rsid w:val="006A0CDE"/>
    <w:rsid w:val="006A197E"/>
    <w:rsid w:val="006A23E1"/>
    <w:rsid w:val="006A2ABA"/>
    <w:rsid w:val="006A3AD8"/>
    <w:rsid w:val="006A3AFE"/>
    <w:rsid w:val="006A4282"/>
    <w:rsid w:val="006A4635"/>
    <w:rsid w:val="006A46E3"/>
    <w:rsid w:val="006A4BA9"/>
    <w:rsid w:val="006A5211"/>
    <w:rsid w:val="006A5A56"/>
    <w:rsid w:val="006A6311"/>
    <w:rsid w:val="006A6769"/>
    <w:rsid w:val="006A6BD2"/>
    <w:rsid w:val="006A73BF"/>
    <w:rsid w:val="006A7560"/>
    <w:rsid w:val="006A77B3"/>
    <w:rsid w:val="006B01AD"/>
    <w:rsid w:val="006B0BF4"/>
    <w:rsid w:val="006B0ED8"/>
    <w:rsid w:val="006B1408"/>
    <w:rsid w:val="006B3169"/>
    <w:rsid w:val="006B387C"/>
    <w:rsid w:val="006B3A55"/>
    <w:rsid w:val="006B3CA6"/>
    <w:rsid w:val="006B4061"/>
    <w:rsid w:val="006B4D31"/>
    <w:rsid w:val="006B50E3"/>
    <w:rsid w:val="006B52D3"/>
    <w:rsid w:val="006B5378"/>
    <w:rsid w:val="006B58C3"/>
    <w:rsid w:val="006B5D10"/>
    <w:rsid w:val="006B6A16"/>
    <w:rsid w:val="006B6A46"/>
    <w:rsid w:val="006B6A90"/>
    <w:rsid w:val="006B6EB1"/>
    <w:rsid w:val="006B706C"/>
    <w:rsid w:val="006B7456"/>
    <w:rsid w:val="006B7782"/>
    <w:rsid w:val="006B7B64"/>
    <w:rsid w:val="006B7BF6"/>
    <w:rsid w:val="006C01F0"/>
    <w:rsid w:val="006C2559"/>
    <w:rsid w:val="006C2D68"/>
    <w:rsid w:val="006C3BB0"/>
    <w:rsid w:val="006C3E3E"/>
    <w:rsid w:val="006C4360"/>
    <w:rsid w:val="006C441E"/>
    <w:rsid w:val="006C4E4B"/>
    <w:rsid w:val="006C4F82"/>
    <w:rsid w:val="006C50EB"/>
    <w:rsid w:val="006C531D"/>
    <w:rsid w:val="006C57DD"/>
    <w:rsid w:val="006C5DA1"/>
    <w:rsid w:val="006C606E"/>
    <w:rsid w:val="006C6291"/>
    <w:rsid w:val="006C675A"/>
    <w:rsid w:val="006C687A"/>
    <w:rsid w:val="006C6A39"/>
    <w:rsid w:val="006C6D45"/>
    <w:rsid w:val="006C7064"/>
    <w:rsid w:val="006C71C7"/>
    <w:rsid w:val="006C7770"/>
    <w:rsid w:val="006D0536"/>
    <w:rsid w:val="006D1091"/>
    <w:rsid w:val="006D17B2"/>
    <w:rsid w:val="006D1F78"/>
    <w:rsid w:val="006D2FD2"/>
    <w:rsid w:val="006D3CE0"/>
    <w:rsid w:val="006D4313"/>
    <w:rsid w:val="006D4463"/>
    <w:rsid w:val="006D4508"/>
    <w:rsid w:val="006D4AC8"/>
    <w:rsid w:val="006D4C5C"/>
    <w:rsid w:val="006D4F73"/>
    <w:rsid w:val="006D527A"/>
    <w:rsid w:val="006D67EF"/>
    <w:rsid w:val="006D7588"/>
    <w:rsid w:val="006E035B"/>
    <w:rsid w:val="006E07A3"/>
    <w:rsid w:val="006E0A6F"/>
    <w:rsid w:val="006E0AD3"/>
    <w:rsid w:val="006E0BFD"/>
    <w:rsid w:val="006E11C8"/>
    <w:rsid w:val="006E1D0B"/>
    <w:rsid w:val="006E20B7"/>
    <w:rsid w:val="006E2125"/>
    <w:rsid w:val="006E34BF"/>
    <w:rsid w:val="006E3F5B"/>
    <w:rsid w:val="006E430A"/>
    <w:rsid w:val="006E471A"/>
    <w:rsid w:val="006E4BCF"/>
    <w:rsid w:val="006E4F41"/>
    <w:rsid w:val="006E5440"/>
    <w:rsid w:val="006E5783"/>
    <w:rsid w:val="006E5846"/>
    <w:rsid w:val="006E60EF"/>
    <w:rsid w:val="006E63BF"/>
    <w:rsid w:val="006E6768"/>
    <w:rsid w:val="006E765A"/>
    <w:rsid w:val="006E77BE"/>
    <w:rsid w:val="006E7EAB"/>
    <w:rsid w:val="006F0211"/>
    <w:rsid w:val="006F112C"/>
    <w:rsid w:val="006F1D6B"/>
    <w:rsid w:val="006F1FB5"/>
    <w:rsid w:val="006F2574"/>
    <w:rsid w:val="006F2824"/>
    <w:rsid w:val="006F353C"/>
    <w:rsid w:val="006F3B3F"/>
    <w:rsid w:val="006F3D9D"/>
    <w:rsid w:val="006F3DC1"/>
    <w:rsid w:val="006F3F5C"/>
    <w:rsid w:val="006F424B"/>
    <w:rsid w:val="006F449C"/>
    <w:rsid w:val="006F44C0"/>
    <w:rsid w:val="006F47C6"/>
    <w:rsid w:val="006F4FC7"/>
    <w:rsid w:val="006F534C"/>
    <w:rsid w:val="006F53D2"/>
    <w:rsid w:val="006F561A"/>
    <w:rsid w:val="006F5E87"/>
    <w:rsid w:val="006F6313"/>
    <w:rsid w:val="006F6730"/>
    <w:rsid w:val="006F7252"/>
    <w:rsid w:val="006F7391"/>
    <w:rsid w:val="006F765A"/>
    <w:rsid w:val="006F7FD2"/>
    <w:rsid w:val="00700F51"/>
    <w:rsid w:val="007019B0"/>
    <w:rsid w:val="007023B8"/>
    <w:rsid w:val="007023F6"/>
    <w:rsid w:val="007027F4"/>
    <w:rsid w:val="00702CA5"/>
    <w:rsid w:val="00702F6D"/>
    <w:rsid w:val="00703450"/>
    <w:rsid w:val="007036E2"/>
    <w:rsid w:val="00703E08"/>
    <w:rsid w:val="00703F76"/>
    <w:rsid w:val="007040AD"/>
    <w:rsid w:val="00704F34"/>
    <w:rsid w:val="00704FE0"/>
    <w:rsid w:val="007051C2"/>
    <w:rsid w:val="007053B2"/>
    <w:rsid w:val="00705958"/>
    <w:rsid w:val="00705C9F"/>
    <w:rsid w:val="00706008"/>
    <w:rsid w:val="00706295"/>
    <w:rsid w:val="007067E0"/>
    <w:rsid w:val="00706808"/>
    <w:rsid w:val="00706AF9"/>
    <w:rsid w:val="00706E6C"/>
    <w:rsid w:val="00707296"/>
    <w:rsid w:val="00707387"/>
    <w:rsid w:val="0070793E"/>
    <w:rsid w:val="00707E3F"/>
    <w:rsid w:val="00710B4C"/>
    <w:rsid w:val="007113F3"/>
    <w:rsid w:val="00711C0F"/>
    <w:rsid w:val="007127A3"/>
    <w:rsid w:val="007128EE"/>
    <w:rsid w:val="007138AC"/>
    <w:rsid w:val="0071470B"/>
    <w:rsid w:val="00714979"/>
    <w:rsid w:val="007156DE"/>
    <w:rsid w:val="00715758"/>
    <w:rsid w:val="00715FE1"/>
    <w:rsid w:val="00716427"/>
    <w:rsid w:val="007172A4"/>
    <w:rsid w:val="007173E7"/>
    <w:rsid w:val="007178CA"/>
    <w:rsid w:val="00717928"/>
    <w:rsid w:val="0072027E"/>
    <w:rsid w:val="00720932"/>
    <w:rsid w:val="0072119F"/>
    <w:rsid w:val="007224D3"/>
    <w:rsid w:val="00722705"/>
    <w:rsid w:val="00722F86"/>
    <w:rsid w:val="00723136"/>
    <w:rsid w:val="0072346A"/>
    <w:rsid w:val="0072459C"/>
    <w:rsid w:val="00724AD4"/>
    <w:rsid w:val="00724BBE"/>
    <w:rsid w:val="00724C22"/>
    <w:rsid w:val="0072652B"/>
    <w:rsid w:val="00726A86"/>
    <w:rsid w:val="00726FBB"/>
    <w:rsid w:val="007272A4"/>
    <w:rsid w:val="007302A8"/>
    <w:rsid w:val="007304FB"/>
    <w:rsid w:val="0073058E"/>
    <w:rsid w:val="00731314"/>
    <w:rsid w:val="007314BB"/>
    <w:rsid w:val="00731986"/>
    <w:rsid w:val="00731DB5"/>
    <w:rsid w:val="00731FC0"/>
    <w:rsid w:val="007324FB"/>
    <w:rsid w:val="0073297A"/>
    <w:rsid w:val="00732A1B"/>
    <w:rsid w:val="00732B1C"/>
    <w:rsid w:val="0073315D"/>
    <w:rsid w:val="007348C0"/>
    <w:rsid w:val="00734E34"/>
    <w:rsid w:val="00734E6B"/>
    <w:rsid w:val="00735723"/>
    <w:rsid w:val="00735F18"/>
    <w:rsid w:val="00736408"/>
    <w:rsid w:val="007368D7"/>
    <w:rsid w:val="007378A2"/>
    <w:rsid w:val="007378DB"/>
    <w:rsid w:val="00737BC4"/>
    <w:rsid w:val="00737F49"/>
    <w:rsid w:val="007406D2"/>
    <w:rsid w:val="007410AD"/>
    <w:rsid w:val="00741E6D"/>
    <w:rsid w:val="00741E8F"/>
    <w:rsid w:val="0074204A"/>
    <w:rsid w:val="00742B1F"/>
    <w:rsid w:val="00743423"/>
    <w:rsid w:val="0074391D"/>
    <w:rsid w:val="007449FA"/>
    <w:rsid w:val="00745D67"/>
    <w:rsid w:val="00746643"/>
    <w:rsid w:val="00746DA6"/>
    <w:rsid w:val="0074715C"/>
    <w:rsid w:val="00747925"/>
    <w:rsid w:val="0075019C"/>
    <w:rsid w:val="00750389"/>
    <w:rsid w:val="00750B76"/>
    <w:rsid w:val="00750DEF"/>
    <w:rsid w:val="00750FAA"/>
    <w:rsid w:val="00751015"/>
    <w:rsid w:val="0075135E"/>
    <w:rsid w:val="00751914"/>
    <w:rsid w:val="00751978"/>
    <w:rsid w:val="00751B4C"/>
    <w:rsid w:val="00751D51"/>
    <w:rsid w:val="00751E46"/>
    <w:rsid w:val="00752139"/>
    <w:rsid w:val="00752297"/>
    <w:rsid w:val="007525B2"/>
    <w:rsid w:val="007527F8"/>
    <w:rsid w:val="00752F48"/>
    <w:rsid w:val="00753D58"/>
    <w:rsid w:val="00753DEA"/>
    <w:rsid w:val="00753E1B"/>
    <w:rsid w:val="007543B9"/>
    <w:rsid w:val="007553B8"/>
    <w:rsid w:val="00755591"/>
    <w:rsid w:val="00755740"/>
    <w:rsid w:val="00755FFA"/>
    <w:rsid w:val="00756E1E"/>
    <w:rsid w:val="00757519"/>
    <w:rsid w:val="00757B9F"/>
    <w:rsid w:val="007602C0"/>
    <w:rsid w:val="00760710"/>
    <w:rsid w:val="00760C8C"/>
    <w:rsid w:val="00760E0E"/>
    <w:rsid w:val="007614DD"/>
    <w:rsid w:val="007629FE"/>
    <w:rsid w:val="007637A1"/>
    <w:rsid w:val="007639D3"/>
    <w:rsid w:val="00763E28"/>
    <w:rsid w:val="00764619"/>
    <w:rsid w:val="00764BE5"/>
    <w:rsid w:val="00764DB7"/>
    <w:rsid w:val="007656C2"/>
    <w:rsid w:val="00765860"/>
    <w:rsid w:val="00765A93"/>
    <w:rsid w:val="00765AFC"/>
    <w:rsid w:val="007661A0"/>
    <w:rsid w:val="007669A7"/>
    <w:rsid w:val="00766C93"/>
    <w:rsid w:val="00766C9A"/>
    <w:rsid w:val="00767261"/>
    <w:rsid w:val="007677BC"/>
    <w:rsid w:val="00767C24"/>
    <w:rsid w:val="007702BB"/>
    <w:rsid w:val="00770503"/>
    <w:rsid w:val="00770C60"/>
    <w:rsid w:val="007712D4"/>
    <w:rsid w:val="007718AE"/>
    <w:rsid w:val="00771EA1"/>
    <w:rsid w:val="00771F42"/>
    <w:rsid w:val="007721D2"/>
    <w:rsid w:val="007723B0"/>
    <w:rsid w:val="00772764"/>
    <w:rsid w:val="00772780"/>
    <w:rsid w:val="007727E8"/>
    <w:rsid w:val="00773274"/>
    <w:rsid w:val="00773276"/>
    <w:rsid w:val="007734D6"/>
    <w:rsid w:val="00773565"/>
    <w:rsid w:val="00773B25"/>
    <w:rsid w:val="00774025"/>
    <w:rsid w:val="007741DF"/>
    <w:rsid w:val="00774C07"/>
    <w:rsid w:val="00774F45"/>
    <w:rsid w:val="00775DCD"/>
    <w:rsid w:val="00775EB0"/>
    <w:rsid w:val="007763A0"/>
    <w:rsid w:val="007765AC"/>
    <w:rsid w:val="00776B05"/>
    <w:rsid w:val="007809D9"/>
    <w:rsid w:val="00780A00"/>
    <w:rsid w:val="00780B82"/>
    <w:rsid w:val="00780D68"/>
    <w:rsid w:val="00781E49"/>
    <w:rsid w:val="00781F14"/>
    <w:rsid w:val="00781FCA"/>
    <w:rsid w:val="007849C5"/>
    <w:rsid w:val="00785F12"/>
    <w:rsid w:val="00785F4A"/>
    <w:rsid w:val="007864BD"/>
    <w:rsid w:val="007864E3"/>
    <w:rsid w:val="00786797"/>
    <w:rsid w:val="00786B76"/>
    <w:rsid w:val="00787125"/>
    <w:rsid w:val="00787210"/>
    <w:rsid w:val="00787567"/>
    <w:rsid w:val="00787BE6"/>
    <w:rsid w:val="007908E9"/>
    <w:rsid w:val="00790CB2"/>
    <w:rsid w:val="0079135C"/>
    <w:rsid w:val="00791424"/>
    <w:rsid w:val="0079142A"/>
    <w:rsid w:val="0079170A"/>
    <w:rsid w:val="00791B3A"/>
    <w:rsid w:val="00792CF5"/>
    <w:rsid w:val="00792DBB"/>
    <w:rsid w:val="00792F44"/>
    <w:rsid w:val="00793205"/>
    <w:rsid w:val="007937D2"/>
    <w:rsid w:val="00793C04"/>
    <w:rsid w:val="00793EF1"/>
    <w:rsid w:val="00794323"/>
    <w:rsid w:val="007947BE"/>
    <w:rsid w:val="00794CD2"/>
    <w:rsid w:val="00796A2D"/>
    <w:rsid w:val="00796AC0"/>
    <w:rsid w:val="00797174"/>
    <w:rsid w:val="00797750"/>
    <w:rsid w:val="007A0019"/>
    <w:rsid w:val="007A008A"/>
    <w:rsid w:val="007A0744"/>
    <w:rsid w:val="007A079D"/>
    <w:rsid w:val="007A0815"/>
    <w:rsid w:val="007A13A9"/>
    <w:rsid w:val="007A1526"/>
    <w:rsid w:val="007A1870"/>
    <w:rsid w:val="007A1F77"/>
    <w:rsid w:val="007A2552"/>
    <w:rsid w:val="007A2782"/>
    <w:rsid w:val="007A2845"/>
    <w:rsid w:val="007A2B4E"/>
    <w:rsid w:val="007A3038"/>
    <w:rsid w:val="007A33A9"/>
    <w:rsid w:val="007A343B"/>
    <w:rsid w:val="007A3BA9"/>
    <w:rsid w:val="007A3FA4"/>
    <w:rsid w:val="007A4396"/>
    <w:rsid w:val="007A4BC5"/>
    <w:rsid w:val="007A4E8C"/>
    <w:rsid w:val="007A51F7"/>
    <w:rsid w:val="007A5652"/>
    <w:rsid w:val="007A5B18"/>
    <w:rsid w:val="007A6B45"/>
    <w:rsid w:val="007A7E94"/>
    <w:rsid w:val="007B0451"/>
    <w:rsid w:val="007B0485"/>
    <w:rsid w:val="007B0C32"/>
    <w:rsid w:val="007B1499"/>
    <w:rsid w:val="007B1C7F"/>
    <w:rsid w:val="007B28BA"/>
    <w:rsid w:val="007B2CE6"/>
    <w:rsid w:val="007B3587"/>
    <w:rsid w:val="007B3E14"/>
    <w:rsid w:val="007B4D7D"/>
    <w:rsid w:val="007B518B"/>
    <w:rsid w:val="007B5E0A"/>
    <w:rsid w:val="007B6424"/>
    <w:rsid w:val="007B6435"/>
    <w:rsid w:val="007B6ABB"/>
    <w:rsid w:val="007B6CFB"/>
    <w:rsid w:val="007B6F76"/>
    <w:rsid w:val="007B6F8F"/>
    <w:rsid w:val="007B751D"/>
    <w:rsid w:val="007C086F"/>
    <w:rsid w:val="007C0AEA"/>
    <w:rsid w:val="007C0BEF"/>
    <w:rsid w:val="007C0F97"/>
    <w:rsid w:val="007C116E"/>
    <w:rsid w:val="007C13FE"/>
    <w:rsid w:val="007C1B47"/>
    <w:rsid w:val="007C1E9F"/>
    <w:rsid w:val="007C1F63"/>
    <w:rsid w:val="007C2082"/>
    <w:rsid w:val="007C26B1"/>
    <w:rsid w:val="007C30D0"/>
    <w:rsid w:val="007C41A1"/>
    <w:rsid w:val="007C4BBD"/>
    <w:rsid w:val="007C4F58"/>
    <w:rsid w:val="007C50DC"/>
    <w:rsid w:val="007C53C8"/>
    <w:rsid w:val="007C53D6"/>
    <w:rsid w:val="007C559A"/>
    <w:rsid w:val="007C55F3"/>
    <w:rsid w:val="007C7134"/>
    <w:rsid w:val="007C7E34"/>
    <w:rsid w:val="007C7F51"/>
    <w:rsid w:val="007D048F"/>
    <w:rsid w:val="007D0703"/>
    <w:rsid w:val="007D09A9"/>
    <w:rsid w:val="007D0C26"/>
    <w:rsid w:val="007D13B9"/>
    <w:rsid w:val="007D30CD"/>
    <w:rsid w:val="007D31D3"/>
    <w:rsid w:val="007D38EB"/>
    <w:rsid w:val="007D39DF"/>
    <w:rsid w:val="007D39E7"/>
    <w:rsid w:val="007D408C"/>
    <w:rsid w:val="007D4194"/>
    <w:rsid w:val="007D4452"/>
    <w:rsid w:val="007D4EA9"/>
    <w:rsid w:val="007D60B0"/>
    <w:rsid w:val="007D66E1"/>
    <w:rsid w:val="007D67D3"/>
    <w:rsid w:val="007D7B5C"/>
    <w:rsid w:val="007E00C0"/>
    <w:rsid w:val="007E03C4"/>
    <w:rsid w:val="007E0638"/>
    <w:rsid w:val="007E0779"/>
    <w:rsid w:val="007E1094"/>
    <w:rsid w:val="007E1D76"/>
    <w:rsid w:val="007E2103"/>
    <w:rsid w:val="007E24FC"/>
    <w:rsid w:val="007E2E9F"/>
    <w:rsid w:val="007E2F2A"/>
    <w:rsid w:val="007E347D"/>
    <w:rsid w:val="007E3860"/>
    <w:rsid w:val="007E3CA9"/>
    <w:rsid w:val="007E3DB5"/>
    <w:rsid w:val="007E4469"/>
    <w:rsid w:val="007E45CB"/>
    <w:rsid w:val="007E51C4"/>
    <w:rsid w:val="007E56B9"/>
    <w:rsid w:val="007E5DF8"/>
    <w:rsid w:val="007E6B71"/>
    <w:rsid w:val="007E712A"/>
    <w:rsid w:val="007E7678"/>
    <w:rsid w:val="007E7E6A"/>
    <w:rsid w:val="007F0975"/>
    <w:rsid w:val="007F0D65"/>
    <w:rsid w:val="007F1507"/>
    <w:rsid w:val="007F1947"/>
    <w:rsid w:val="007F1AFF"/>
    <w:rsid w:val="007F1BED"/>
    <w:rsid w:val="007F2400"/>
    <w:rsid w:val="007F251E"/>
    <w:rsid w:val="007F273B"/>
    <w:rsid w:val="007F43C3"/>
    <w:rsid w:val="007F472C"/>
    <w:rsid w:val="007F4B24"/>
    <w:rsid w:val="007F4BCF"/>
    <w:rsid w:val="007F4DA6"/>
    <w:rsid w:val="007F501C"/>
    <w:rsid w:val="007F5204"/>
    <w:rsid w:val="007F5FCA"/>
    <w:rsid w:val="007F6084"/>
    <w:rsid w:val="007F6F0A"/>
    <w:rsid w:val="007F769B"/>
    <w:rsid w:val="007F7816"/>
    <w:rsid w:val="007F7DFB"/>
    <w:rsid w:val="007F7E8A"/>
    <w:rsid w:val="008008D7"/>
    <w:rsid w:val="00800AB4"/>
    <w:rsid w:val="008021FB"/>
    <w:rsid w:val="0080270F"/>
    <w:rsid w:val="00802977"/>
    <w:rsid w:val="00802FDE"/>
    <w:rsid w:val="008033AE"/>
    <w:rsid w:val="008035F6"/>
    <w:rsid w:val="008040DF"/>
    <w:rsid w:val="00804620"/>
    <w:rsid w:val="00804921"/>
    <w:rsid w:val="008057F5"/>
    <w:rsid w:val="00805B32"/>
    <w:rsid w:val="0080674C"/>
    <w:rsid w:val="00806ECA"/>
    <w:rsid w:val="008070D7"/>
    <w:rsid w:val="0080762B"/>
    <w:rsid w:val="00807C7B"/>
    <w:rsid w:val="00807D70"/>
    <w:rsid w:val="00810180"/>
    <w:rsid w:val="008101AA"/>
    <w:rsid w:val="00810878"/>
    <w:rsid w:val="0081145E"/>
    <w:rsid w:val="008115ED"/>
    <w:rsid w:val="0081216B"/>
    <w:rsid w:val="00812789"/>
    <w:rsid w:val="008127A9"/>
    <w:rsid w:val="00812961"/>
    <w:rsid w:val="00812A87"/>
    <w:rsid w:val="00812AAC"/>
    <w:rsid w:val="00812D38"/>
    <w:rsid w:val="0081375B"/>
    <w:rsid w:val="00813C25"/>
    <w:rsid w:val="00814120"/>
    <w:rsid w:val="00814E19"/>
    <w:rsid w:val="00815771"/>
    <w:rsid w:val="008165AF"/>
    <w:rsid w:val="008165F3"/>
    <w:rsid w:val="00816E0B"/>
    <w:rsid w:val="00816E13"/>
    <w:rsid w:val="00816EE6"/>
    <w:rsid w:val="008172F7"/>
    <w:rsid w:val="0081740B"/>
    <w:rsid w:val="00817457"/>
    <w:rsid w:val="008175CB"/>
    <w:rsid w:val="00817D87"/>
    <w:rsid w:val="00820348"/>
    <w:rsid w:val="00820998"/>
    <w:rsid w:val="00820B46"/>
    <w:rsid w:val="00821035"/>
    <w:rsid w:val="00821C2B"/>
    <w:rsid w:val="00822135"/>
    <w:rsid w:val="00822583"/>
    <w:rsid w:val="0082362D"/>
    <w:rsid w:val="00823827"/>
    <w:rsid w:val="00823A7C"/>
    <w:rsid w:val="008240F1"/>
    <w:rsid w:val="0082569C"/>
    <w:rsid w:val="008256BC"/>
    <w:rsid w:val="008259CC"/>
    <w:rsid w:val="00825CAD"/>
    <w:rsid w:val="00826BA0"/>
    <w:rsid w:val="008271BB"/>
    <w:rsid w:val="008276D7"/>
    <w:rsid w:val="00827BE3"/>
    <w:rsid w:val="0083035F"/>
    <w:rsid w:val="0083050D"/>
    <w:rsid w:val="008308DB"/>
    <w:rsid w:val="00830BE1"/>
    <w:rsid w:val="008314A0"/>
    <w:rsid w:val="00831DA9"/>
    <w:rsid w:val="00831E2F"/>
    <w:rsid w:val="00831E87"/>
    <w:rsid w:val="00832AD1"/>
    <w:rsid w:val="00832F03"/>
    <w:rsid w:val="00833290"/>
    <w:rsid w:val="008341CF"/>
    <w:rsid w:val="00834BA7"/>
    <w:rsid w:val="0083544B"/>
    <w:rsid w:val="0083639B"/>
    <w:rsid w:val="008369F2"/>
    <w:rsid w:val="00836D9B"/>
    <w:rsid w:val="00836F35"/>
    <w:rsid w:val="0083764B"/>
    <w:rsid w:val="0083789B"/>
    <w:rsid w:val="0084031D"/>
    <w:rsid w:val="00840595"/>
    <w:rsid w:val="00840C91"/>
    <w:rsid w:val="00840FC6"/>
    <w:rsid w:val="0084147A"/>
    <w:rsid w:val="00841978"/>
    <w:rsid w:val="00842154"/>
    <w:rsid w:val="00842A38"/>
    <w:rsid w:val="008431CD"/>
    <w:rsid w:val="00843254"/>
    <w:rsid w:val="008434A5"/>
    <w:rsid w:val="00843BB6"/>
    <w:rsid w:val="00844CFA"/>
    <w:rsid w:val="00844F11"/>
    <w:rsid w:val="00845179"/>
    <w:rsid w:val="008452B4"/>
    <w:rsid w:val="00845691"/>
    <w:rsid w:val="008463EC"/>
    <w:rsid w:val="00846873"/>
    <w:rsid w:val="008468EA"/>
    <w:rsid w:val="00846A19"/>
    <w:rsid w:val="00846E37"/>
    <w:rsid w:val="008476CA"/>
    <w:rsid w:val="008479B9"/>
    <w:rsid w:val="00850562"/>
    <w:rsid w:val="00850888"/>
    <w:rsid w:val="008511C5"/>
    <w:rsid w:val="00851203"/>
    <w:rsid w:val="00852158"/>
    <w:rsid w:val="0085254E"/>
    <w:rsid w:val="00852C49"/>
    <w:rsid w:val="00852FE1"/>
    <w:rsid w:val="00854305"/>
    <w:rsid w:val="008549E5"/>
    <w:rsid w:val="00854F9D"/>
    <w:rsid w:val="008557F0"/>
    <w:rsid w:val="00855894"/>
    <w:rsid w:val="0085589B"/>
    <w:rsid w:val="00855FCF"/>
    <w:rsid w:val="00856025"/>
    <w:rsid w:val="00856DA4"/>
    <w:rsid w:val="00856EDB"/>
    <w:rsid w:val="00857115"/>
    <w:rsid w:val="00857412"/>
    <w:rsid w:val="00857EC7"/>
    <w:rsid w:val="00857F94"/>
    <w:rsid w:val="00857FBA"/>
    <w:rsid w:val="00857FF1"/>
    <w:rsid w:val="0086047E"/>
    <w:rsid w:val="00860491"/>
    <w:rsid w:val="00860972"/>
    <w:rsid w:val="00860B42"/>
    <w:rsid w:val="00861B05"/>
    <w:rsid w:val="00861EF6"/>
    <w:rsid w:val="008627E6"/>
    <w:rsid w:val="00862889"/>
    <w:rsid w:val="00862ACD"/>
    <w:rsid w:val="00862C35"/>
    <w:rsid w:val="008631F3"/>
    <w:rsid w:val="00863236"/>
    <w:rsid w:val="00863654"/>
    <w:rsid w:val="008639EC"/>
    <w:rsid w:val="00864464"/>
    <w:rsid w:val="00864E23"/>
    <w:rsid w:val="00865535"/>
    <w:rsid w:val="00865BDD"/>
    <w:rsid w:val="00865D1B"/>
    <w:rsid w:val="00866463"/>
    <w:rsid w:val="00866794"/>
    <w:rsid w:val="00867C7A"/>
    <w:rsid w:val="0087020D"/>
    <w:rsid w:val="008703C7"/>
    <w:rsid w:val="008704CC"/>
    <w:rsid w:val="00870941"/>
    <w:rsid w:val="008718CA"/>
    <w:rsid w:val="0087214C"/>
    <w:rsid w:val="008724DA"/>
    <w:rsid w:val="008728BA"/>
    <w:rsid w:val="00872CE3"/>
    <w:rsid w:val="00872D95"/>
    <w:rsid w:val="00872E4F"/>
    <w:rsid w:val="00873677"/>
    <w:rsid w:val="00873857"/>
    <w:rsid w:val="00873F1A"/>
    <w:rsid w:val="00874350"/>
    <w:rsid w:val="008743DD"/>
    <w:rsid w:val="00874FF8"/>
    <w:rsid w:val="008758B1"/>
    <w:rsid w:val="00875A92"/>
    <w:rsid w:val="00875D7E"/>
    <w:rsid w:val="00875E14"/>
    <w:rsid w:val="008760A5"/>
    <w:rsid w:val="00876A81"/>
    <w:rsid w:val="008772A3"/>
    <w:rsid w:val="00877814"/>
    <w:rsid w:val="008779DF"/>
    <w:rsid w:val="00877FEE"/>
    <w:rsid w:val="00880D44"/>
    <w:rsid w:val="00880D46"/>
    <w:rsid w:val="00880E6B"/>
    <w:rsid w:val="0088114C"/>
    <w:rsid w:val="00882720"/>
    <w:rsid w:val="00882767"/>
    <w:rsid w:val="00882B52"/>
    <w:rsid w:val="00882CB6"/>
    <w:rsid w:val="00883664"/>
    <w:rsid w:val="00883C31"/>
    <w:rsid w:val="0088435E"/>
    <w:rsid w:val="008846E1"/>
    <w:rsid w:val="00885248"/>
    <w:rsid w:val="008853ED"/>
    <w:rsid w:val="008857B5"/>
    <w:rsid w:val="008857D9"/>
    <w:rsid w:val="00885C3B"/>
    <w:rsid w:val="00885DEF"/>
    <w:rsid w:val="008861D1"/>
    <w:rsid w:val="008869D9"/>
    <w:rsid w:val="0088753B"/>
    <w:rsid w:val="00887A83"/>
    <w:rsid w:val="00887AF5"/>
    <w:rsid w:val="0089021D"/>
    <w:rsid w:val="008906EB"/>
    <w:rsid w:val="00890E00"/>
    <w:rsid w:val="008911D5"/>
    <w:rsid w:val="00891280"/>
    <w:rsid w:val="00891C1C"/>
    <w:rsid w:val="00891C67"/>
    <w:rsid w:val="00891D66"/>
    <w:rsid w:val="00891ED6"/>
    <w:rsid w:val="00891F08"/>
    <w:rsid w:val="00891F4F"/>
    <w:rsid w:val="008926B0"/>
    <w:rsid w:val="00892B49"/>
    <w:rsid w:val="00893341"/>
    <w:rsid w:val="00893A3F"/>
    <w:rsid w:val="00893E7B"/>
    <w:rsid w:val="00895488"/>
    <w:rsid w:val="008956F8"/>
    <w:rsid w:val="00895A8F"/>
    <w:rsid w:val="00895B1F"/>
    <w:rsid w:val="00895BDB"/>
    <w:rsid w:val="00895FA9"/>
    <w:rsid w:val="0089629F"/>
    <w:rsid w:val="00896628"/>
    <w:rsid w:val="00896781"/>
    <w:rsid w:val="00896903"/>
    <w:rsid w:val="0089738E"/>
    <w:rsid w:val="00897AF2"/>
    <w:rsid w:val="00897B9A"/>
    <w:rsid w:val="00897D5A"/>
    <w:rsid w:val="008A0EDF"/>
    <w:rsid w:val="008A22B4"/>
    <w:rsid w:val="008A28F9"/>
    <w:rsid w:val="008A2915"/>
    <w:rsid w:val="008A2A86"/>
    <w:rsid w:val="008A2DBA"/>
    <w:rsid w:val="008A334B"/>
    <w:rsid w:val="008A3E99"/>
    <w:rsid w:val="008A3EA6"/>
    <w:rsid w:val="008A4DC1"/>
    <w:rsid w:val="008A542B"/>
    <w:rsid w:val="008A5CDC"/>
    <w:rsid w:val="008A63B3"/>
    <w:rsid w:val="008A7CF2"/>
    <w:rsid w:val="008B00E8"/>
    <w:rsid w:val="008B0460"/>
    <w:rsid w:val="008B0662"/>
    <w:rsid w:val="008B0835"/>
    <w:rsid w:val="008B1005"/>
    <w:rsid w:val="008B13A1"/>
    <w:rsid w:val="008B183F"/>
    <w:rsid w:val="008B1A7E"/>
    <w:rsid w:val="008B24AA"/>
    <w:rsid w:val="008B28D2"/>
    <w:rsid w:val="008B2BBC"/>
    <w:rsid w:val="008B2D82"/>
    <w:rsid w:val="008B2DFC"/>
    <w:rsid w:val="008B2F11"/>
    <w:rsid w:val="008B30D7"/>
    <w:rsid w:val="008B3992"/>
    <w:rsid w:val="008B3F7B"/>
    <w:rsid w:val="008B4019"/>
    <w:rsid w:val="008B4B7D"/>
    <w:rsid w:val="008B4D3E"/>
    <w:rsid w:val="008B5270"/>
    <w:rsid w:val="008B5D12"/>
    <w:rsid w:val="008B6321"/>
    <w:rsid w:val="008B7ACE"/>
    <w:rsid w:val="008C0931"/>
    <w:rsid w:val="008C09E3"/>
    <w:rsid w:val="008C0BE1"/>
    <w:rsid w:val="008C0CB3"/>
    <w:rsid w:val="008C0E88"/>
    <w:rsid w:val="008C13B4"/>
    <w:rsid w:val="008C13FE"/>
    <w:rsid w:val="008C15E1"/>
    <w:rsid w:val="008C199C"/>
    <w:rsid w:val="008C1A72"/>
    <w:rsid w:val="008C1EDF"/>
    <w:rsid w:val="008C2AC3"/>
    <w:rsid w:val="008C308C"/>
    <w:rsid w:val="008C34FA"/>
    <w:rsid w:val="008C3828"/>
    <w:rsid w:val="008C3B3D"/>
    <w:rsid w:val="008C4006"/>
    <w:rsid w:val="008C4F36"/>
    <w:rsid w:val="008C529D"/>
    <w:rsid w:val="008C534D"/>
    <w:rsid w:val="008C54B9"/>
    <w:rsid w:val="008C63BD"/>
    <w:rsid w:val="008C6AE2"/>
    <w:rsid w:val="008C718C"/>
    <w:rsid w:val="008C7607"/>
    <w:rsid w:val="008C7F1E"/>
    <w:rsid w:val="008D01E7"/>
    <w:rsid w:val="008D042B"/>
    <w:rsid w:val="008D06F9"/>
    <w:rsid w:val="008D0B23"/>
    <w:rsid w:val="008D0CAA"/>
    <w:rsid w:val="008D0EFF"/>
    <w:rsid w:val="008D1176"/>
    <w:rsid w:val="008D181E"/>
    <w:rsid w:val="008D273E"/>
    <w:rsid w:val="008D2C0D"/>
    <w:rsid w:val="008D3082"/>
    <w:rsid w:val="008D3742"/>
    <w:rsid w:val="008D4628"/>
    <w:rsid w:val="008D48F2"/>
    <w:rsid w:val="008D544A"/>
    <w:rsid w:val="008D59BD"/>
    <w:rsid w:val="008D5B0A"/>
    <w:rsid w:val="008D5C07"/>
    <w:rsid w:val="008D5FB0"/>
    <w:rsid w:val="008D680B"/>
    <w:rsid w:val="008D6974"/>
    <w:rsid w:val="008D71EA"/>
    <w:rsid w:val="008D7241"/>
    <w:rsid w:val="008D7426"/>
    <w:rsid w:val="008D761E"/>
    <w:rsid w:val="008D7DA6"/>
    <w:rsid w:val="008D7FB6"/>
    <w:rsid w:val="008E092E"/>
    <w:rsid w:val="008E179A"/>
    <w:rsid w:val="008E1B79"/>
    <w:rsid w:val="008E2035"/>
    <w:rsid w:val="008E23A6"/>
    <w:rsid w:val="008E2689"/>
    <w:rsid w:val="008E276D"/>
    <w:rsid w:val="008E362A"/>
    <w:rsid w:val="008E364F"/>
    <w:rsid w:val="008E3B1C"/>
    <w:rsid w:val="008E3E63"/>
    <w:rsid w:val="008E4089"/>
    <w:rsid w:val="008E42F9"/>
    <w:rsid w:val="008E4501"/>
    <w:rsid w:val="008E4A8A"/>
    <w:rsid w:val="008E4A8C"/>
    <w:rsid w:val="008E4D34"/>
    <w:rsid w:val="008E4FB6"/>
    <w:rsid w:val="008E5286"/>
    <w:rsid w:val="008E5870"/>
    <w:rsid w:val="008E66DB"/>
    <w:rsid w:val="008E6790"/>
    <w:rsid w:val="008E6A72"/>
    <w:rsid w:val="008E6D8C"/>
    <w:rsid w:val="008E6E91"/>
    <w:rsid w:val="008E6F92"/>
    <w:rsid w:val="008E77E7"/>
    <w:rsid w:val="008E7A11"/>
    <w:rsid w:val="008E7D11"/>
    <w:rsid w:val="008F0587"/>
    <w:rsid w:val="008F096C"/>
    <w:rsid w:val="008F0BAE"/>
    <w:rsid w:val="008F0D87"/>
    <w:rsid w:val="008F0F32"/>
    <w:rsid w:val="008F1927"/>
    <w:rsid w:val="008F192E"/>
    <w:rsid w:val="008F20A1"/>
    <w:rsid w:val="008F24C5"/>
    <w:rsid w:val="008F3C72"/>
    <w:rsid w:val="008F3EEB"/>
    <w:rsid w:val="008F4531"/>
    <w:rsid w:val="008F4594"/>
    <w:rsid w:val="008F4CF7"/>
    <w:rsid w:val="008F4DB3"/>
    <w:rsid w:val="008F4DEE"/>
    <w:rsid w:val="008F4E15"/>
    <w:rsid w:val="008F5456"/>
    <w:rsid w:val="008F5486"/>
    <w:rsid w:val="008F5E21"/>
    <w:rsid w:val="008F5EDD"/>
    <w:rsid w:val="008F6032"/>
    <w:rsid w:val="008F60D6"/>
    <w:rsid w:val="008F693C"/>
    <w:rsid w:val="008F6AC3"/>
    <w:rsid w:val="008F72B7"/>
    <w:rsid w:val="008F7327"/>
    <w:rsid w:val="008F76AB"/>
    <w:rsid w:val="008F7AE4"/>
    <w:rsid w:val="009000FF"/>
    <w:rsid w:val="00900181"/>
    <w:rsid w:val="00900781"/>
    <w:rsid w:val="00900AB2"/>
    <w:rsid w:val="009024E0"/>
    <w:rsid w:val="00902D4D"/>
    <w:rsid w:val="00902E5C"/>
    <w:rsid w:val="00903195"/>
    <w:rsid w:val="00903573"/>
    <w:rsid w:val="0090366A"/>
    <w:rsid w:val="009042F7"/>
    <w:rsid w:val="009047CB"/>
    <w:rsid w:val="00905198"/>
    <w:rsid w:val="0090519B"/>
    <w:rsid w:val="009051EF"/>
    <w:rsid w:val="009053E8"/>
    <w:rsid w:val="00905791"/>
    <w:rsid w:val="0090691F"/>
    <w:rsid w:val="009072BA"/>
    <w:rsid w:val="00907D91"/>
    <w:rsid w:val="00907E89"/>
    <w:rsid w:val="00910176"/>
    <w:rsid w:val="009108EF"/>
    <w:rsid w:val="00910A1A"/>
    <w:rsid w:val="00911787"/>
    <w:rsid w:val="00911AE1"/>
    <w:rsid w:val="009124D3"/>
    <w:rsid w:val="00912D3E"/>
    <w:rsid w:val="00914644"/>
    <w:rsid w:val="00914D01"/>
    <w:rsid w:val="00914E1D"/>
    <w:rsid w:val="00914EEB"/>
    <w:rsid w:val="009166A5"/>
    <w:rsid w:val="00916D48"/>
    <w:rsid w:val="009174ED"/>
    <w:rsid w:val="00917862"/>
    <w:rsid w:val="00917C14"/>
    <w:rsid w:val="00917D16"/>
    <w:rsid w:val="00920040"/>
    <w:rsid w:val="00920BEC"/>
    <w:rsid w:val="00921687"/>
    <w:rsid w:val="0092185D"/>
    <w:rsid w:val="00922259"/>
    <w:rsid w:val="00922FE4"/>
    <w:rsid w:val="009230BE"/>
    <w:rsid w:val="0092354E"/>
    <w:rsid w:val="0092394B"/>
    <w:rsid w:val="00924147"/>
    <w:rsid w:val="00924881"/>
    <w:rsid w:val="0092504F"/>
    <w:rsid w:val="00925214"/>
    <w:rsid w:val="00925796"/>
    <w:rsid w:val="0092616B"/>
    <w:rsid w:val="00926291"/>
    <w:rsid w:val="00926EE9"/>
    <w:rsid w:val="0092703B"/>
    <w:rsid w:val="009270C3"/>
    <w:rsid w:val="009274DD"/>
    <w:rsid w:val="009274EC"/>
    <w:rsid w:val="00927B72"/>
    <w:rsid w:val="0093038D"/>
    <w:rsid w:val="00930CCD"/>
    <w:rsid w:val="00930FEB"/>
    <w:rsid w:val="00931146"/>
    <w:rsid w:val="00931405"/>
    <w:rsid w:val="009316C1"/>
    <w:rsid w:val="00931B59"/>
    <w:rsid w:val="00933973"/>
    <w:rsid w:val="00933E42"/>
    <w:rsid w:val="00933E76"/>
    <w:rsid w:val="00933FDB"/>
    <w:rsid w:val="00934214"/>
    <w:rsid w:val="00934B4E"/>
    <w:rsid w:val="00934FFE"/>
    <w:rsid w:val="009356F7"/>
    <w:rsid w:val="0093585C"/>
    <w:rsid w:val="00935DE3"/>
    <w:rsid w:val="00936365"/>
    <w:rsid w:val="00936399"/>
    <w:rsid w:val="00936719"/>
    <w:rsid w:val="00936ABF"/>
    <w:rsid w:val="00937564"/>
    <w:rsid w:val="00940DAA"/>
    <w:rsid w:val="00940EAF"/>
    <w:rsid w:val="009418AE"/>
    <w:rsid w:val="00941D2B"/>
    <w:rsid w:val="00941D9A"/>
    <w:rsid w:val="0094222A"/>
    <w:rsid w:val="00942291"/>
    <w:rsid w:val="00942471"/>
    <w:rsid w:val="00942DE0"/>
    <w:rsid w:val="00943204"/>
    <w:rsid w:val="0094328A"/>
    <w:rsid w:val="009445F7"/>
    <w:rsid w:val="0094479F"/>
    <w:rsid w:val="0094522E"/>
    <w:rsid w:val="00945319"/>
    <w:rsid w:val="009453C3"/>
    <w:rsid w:val="009455B9"/>
    <w:rsid w:val="009456E4"/>
    <w:rsid w:val="009463BF"/>
    <w:rsid w:val="0094650F"/>
    <w:rsid w:val="0094676C"/>
    <w:rsid w:val="00946EBF"/>
    <w:rsid w:val="00946F10"/>
    <w:rsid w:val="009478DF"/>
    <w:rsid w:val="00947CC1"/>
    <w:rsid w:val="00947DAF"/>
    <w:rsid w:val="00947FD2"/>
    <w:rsid w:val="009505F6"/>
    <w:rsid w:val="00950656"/>
    <w:rsid w:val="00950926"/>
    <w:rsid w:val="00950C72"/>
    <w:rsid w:val="00950F10"/>
    <w:rsid w:val="009530EA"/>
    <w:rsid w:val="00953142"/>
    <w:rsid w:val="0095357E"/>
    <w:rsid w:val="00953AF5"/>
    <w:rsid w:val="00953B1F"/>
    <w:rsid w:val="0095597F"/>
    <w:rsid w:val="009562C6"/>
    <w:rsid w:val="00956860"/>
    <w:rsid w:val="00956A9B"/>
    <w:rsid w:val="00956D2B"/>
    <w:rsid w:val="00956D55"/>
    <w:rsid w:val="00957301"/>
    <w:rsid w:val="00957398"/>
    <w:rsid w:val="00957458"/>
    <w:rsid w:val="0095795E"/>
    <w:rsid w:val="00957A27"/>
    <w:rsid w:val="00957E7C"/>
    <w:rsid w:val="0096064F"/>
    <w:rsid w:val="00960986"/>
    <w:rsid w:val="009609BF"/>
    <w:rsid w:val="00960A70"/>
    <w:rsid w:val="00961B01"/>
    <w:rsid w:val="00962556"/>
    <w:rsid w:val="009629D2"/>
    <w:rsid w:val="00962B0B"/>
    <w:rsid w:val="00962CAD"/>
    <w:rsid w:val="00962F08"/>
    <w:rsid w:val="00963ED2"/>
    <w:rsid w:val="00963F72"/>
    <w:rsid w:val="009642E5"/>
    <w:rsid w:val="009649B9"/>
    <w:rsid w:val="00964BB3"/>
    <w:rsid w:val="0096565E"/>
    <w:rsid w:val="00966320"/>
    <w:rsid w:val="0096716A"/>
    <w:rsid w:val="0096767F"/>
    <w:rsid w:val="00967BCF"/>
    <w:rsid w:val="00970BAD"/>
    <w:rsid w:val="00971722"/>
    <w:rsid w:val="009724A8"/>
    <w:rsid w:val="009727C7"/>
    <w:rsid w:val="00972E66"/>
    <w:rsid w:val="00972F2C"/>
    <w:rsid w:val="00972FCE"/>
    <w:rsid w:val="009731BD"/>
    <w:rsid w:val="00973790"/>
    <w:rsid w:val="00973A9C"/>
    <w:rsid w:val="00973CB9"/>
    <w:rsid w:val="00973D99"/>
    <w:rsid w:val="00974133"/>
    <w:rsid w:val="00974429"/>
    <w:rsid w:val="0097569A"/>
    <w:rsid w:val="00975B9E"/>
    <w:rsid w:val="00975BBF"/>
    <w:rsid w:val="00976000"/>
    <w:rsid w:val="00976925"/>
    <w:rsid w:val="00976B38"/>
    <w:rsid w:val="00976DAE"/>
    <w:rsid w:val="009770B5"/>
    <w:rsid w:val="009801F9"/>
    <w:rsid w:val="00980E1C"/>
    <w:rsid w:val="0098103D"/>
    <w:rsid w:val="0098145D"/>
    <w:rsid w:val="009817A5"/>
    <w:rsid w:val="009826F2"/>
    <w:rsid w:val="00982F13"/>
    <w:rsid w:val="0098335C"/>
    <w:rsid w:val="00983D3E"/>
    <w:rsid w:val="00983E08"/>
    <w:rsid w:val="0098402C"/>
    <w:rsid w:val="009841B8"/>
    <w:rsid w:val="00984870"/>
    <w:rsid w:val="00984C14"/>
    <w:rsid w:val="009851AC"/>
    <w:rsid w:val="009864CD"/>
    <w:rsid w:val="00986673"/>
    <w:rsid w:val="00986C4B"/>
    <w:rsid w:val="009873CE"/>
    <w:rsid w:val="00987FBD"/>
    <w:rsid w:val="0099071F"/>
    <w:rsid w:val="00991252"/>
    <w:rsid w:val="00991733"/>
    <w:rsid w:val="00991985"/>
    <w:rsid w:val="009920FE"/>
    <w:rsid w:val="00992638"/>
    <w:rsid w:val="00992F21"/>
    <w:rsid w:val="00993208"/>
    <w:rsid w:val="00993427"/>
    <w:rsid w:val="009935CB"/>
    <w:rsid w:val="00993F9A"/>
    <w:rsid w:val="00994031"/>
    <w:rsid w:val="0099463C"/>
    <w:rsid w:val="009951A9"/>
    <w:rsid w:val="009954FF"/>
    <w:rsid w:val="0099558D"/>
    <w:rsid w:val="0099580B"/>
    <w:rsid w:val="00995964"/>
    <w:rsid w:val="00995EF5"/>
    <w:rsid w:val="0099609B"/>
    <w:rsid w:val="00996E9C"/>
    <w:rsid w:val="00997537"/>
    <w:rsid w:val="009A0409"/>
    <w:rsid w:val="009A0A59"/>
    <w:rsid w:val="009A0B1C"/>
    <w:rsid w:val="009A1428"/>
    <w:rsid w:val="009A265D"/>
    <w:rsid w:val="009A2B44"/>
    <w:rsid w:val="009A34D6"/>
    <w:rsid w:val="009A3E82"/>
    <w:rsid w:val="009A424F"/>
    <w:rsid w:val="009A4252"/>
    <w:rsid w:val="009A4809"/>
    <w:rsid w:val="009A504E"/>
    <w:rsid w:val="009A5ABE"/>
    <w:rsid w:val="009A5C74"/>
    <w:rsid w:val="009A6389"/>
    <w:rsid w:val="009A6716"/>
    <w:rsid w:val="009A6B01"/>
    <w:rsid w:val="009A6B36"/>
    <w:rsid w:val="009A6CCE"/>
    <w:rsid w:val="009A6DD8"/>
    <w:rsid w:val="009A6F6E"/>
    <w:rsid w:val="009A7410"/>
    <w:rsid w:val="009A7907"/>
    <w:rsid w:val="009A792A"/>
    <w:rsid w:val="009A7F4B"/>
    <w:rsid w:val="009B02E2"/>
    <w:rsid w:val="009B09DD"/>
    <w:rsid w:val="009B173D"/>
    <w:rsid w:val="009B17CA"/>
    <w:rsid w:val="009B193E"/>
    <w:rsid w:val="009B1A6F"/>
    <w:rsid w:val="009B1B4F"/>
    <w:rsid w:val="009B1EE3"/>
    <w:rsid w:val="009B1FBE"/>
    <w:rsid w:val="009B2406"/>
    <w:rsid w:val="009B27F8"/>
    <w:rsid w:val="009B2BB2"/>
    <w:rsid w:val="009B3BC7"/>
    <w:rsid w:val="009B3EE4"/>
    <w:rsid w:val="009B47A4"/>
    <w:rsid w:val="009B4828"/>
    <w:rsid w:val="009B4A60"/>
    <w:rsid w:val="009B4C28"/>
    <w:rsid w:val="009B5C49"/>
    <w:rsid w:val="009B5D47"/>
    <w:rsid w:val="009B602A"/>
    <w:rsid w:val="009B736F"/>
    <w:rsid w:val="009B7E9E"/>
    <w:rsid w:val="009C04FB"/>
    <w:rsid w:val="009C05C2"/>
    <w:rsid w:val="009C068E"/>
    <w:rsid w:val="009C0A00"/>
    <w:rsid w:val="009C0CE5"/>
    <w:rsid w:val="009C1C62"/>
    <w:rsid w:val="009C1E7D"/>
    <w:rsid w:val="009C2710"/>
    <w:rsid w:val="009C2DBA"/>
    <w:rsid w:val="009C43C5"/>
    <w:rsid w:val="009C46CB"/>
    <w:rsid w:val="009C5179"/>
    <w:rsid w:val="009C5204"/>
    <w:rsid w:val="009C6213"/>
    <w:rsid w:val="009C7373"/>
    <w:rsid w:val="009C7804"/>
    <w:rsid w:val="009C7BE5"/>
    <w:rsid w:val="009C7E1A"/>
    <w:rsid w:val="009D0E58"/>
    <w:rsid w:val="009D0FC4"/>
    <w:rsid w:val="009D10BE"/>
    <w:rsid w:val="009D15AB"/>
    <w:rsid w:val="009D19A4"/>
    <w:rsid w:val="009D1B4F"/>
    <w:rsid w:val="009D1BB5"/>
    <w:rsid w:val="009D24C3"/>
    <w:rsid w:val="009D2A30"/>
    <w:rsid w:val="009D2B28"/>
    <w:rsid w:val="009D2DC6"/>
    <w:rsid w:val="009D3008"/>
    <w:rsid w:val="009D30C3"/>
    <w:rsid w:val="009D326C"/>
    <w:rsid w:val="009D3825"/>
    <w:rsid w:val="009D3852"/>
    <w:rsid w:val="009D3BB9"/>
    <w:rsid w:val="009D42A3"/>
    <w:rsid w:val="009D4502"/>
    <w:rsid w:val="009D467A"/>
    <w:rsid w:val="009D4768"/>
    <w:rsid w:val="009D4B5E"/>
    <w:rsid w:val="009D58C7"/>
    <w:rsid w:val="009D5D70"/>
    <w:rsid w:val="009D6506"/>
    <w:rsid w:val="009D6EC8"/>
    <w:rsid w:val="009D7B1D"/>
    <w:rsid w:val="009E12E2"/>
    <w:rsid w:val="009E1434"/>
    <w:rsid w:val="009E18FA"/>
    <w:rsid w:val="009E1EC9"/>
    <w:rsid w:val="009E2018"/>
    <w:rsid w:val="009E21B9"/>
    <w:rsid w:val="009E3488"/>
    <w:rsid w:val="009E379F"/>
    <w:rsid w:val="009E40D9"/>
    <w:rsid w:val="009E4178"/>
    <w:rsid w:val="009E43CD"/>
    <w:rsid w:val="009E5698"/>
    <w:rsid w:val="009E5A89"/>
    <w:rsid w:val="009E6301"/>
    <w:rsid w:val="009E7474"/>
    <w:rsid w:val="009E755B"/>
    <w:rsid w:val="009E7AB7"/>
    <w:rsid w:val="009F0A6B"/>
    <w:rsid w:val="009F0F7B"/>
    <w:rsid w:val="009F12AE"/>
    <w:rsid w:val="009F2020"/>
    <w:rsid w:val="009F240E"/>
    <w:rsid w:val="009F2BF7"/>
    <w:rsid w:val="009F31C7"/>
    <w:rsid w:val="009F327C"/>
    <w:rsid w:val="009F36B8"/>
    <w:rsid w:val="009F3AA3"/>
    <w:rsid w:val="009F3B5B"/>
    <w:rsid w:val="009F3F79"/>
    <w:rsid w:val="009F4168"/>
    <w:rsid w:val="009F46A5"/>
    <w:rsid w:val="009F48C1"/>
    <w:rsid w:val="009F493A"/>
    <w:rsid w:val="009F4A9A"/>
    <w:rsid w:val="009F4B14"/>
    <w:rsid w:val="009F4BF8"/>
    <w:rsid w:val="009F4DDF"/>
    <w:rsid w:val="009F5063"/>
    <w:rsid w:val="009F5450"/>
    <w:rsid w:val="009F54E9"/>
    <w:rsid w:val="009F57D1"/>
    <w:rsid w:val="009F59EF"/>
    <w:rsid w:val="009F5AD4"/>
    <w:rsid w:val="009F6C58"/>
    <w:rsid w:val="009F6E92"/>
    <w:rsid w:val="009F6F3A"/>
    <w:rsid w:val="009F75D9"/>
    <w:rsid w:val="009F7B41"/>
    <w:rsid w:val="00A0039A"/>
    <w:rsid w:val="00A0085C"/>
    <w:rsid w:val="00A015ED"/>
    <w:rsid w:val="00A016BB"/>
    <w:rsid w:val="00A016FC"/>
    <w:rsid w:val="00A01738"/>
    <w:rsid w:val="00A0196E"/>
    <w:rsid w:val="00A019C0"/>
    <w:rsid w:val="00A01C91"/>
    <w:rsid w:val="00A01D95"/>
    <w:rsid w:val="00A01F08"/>
    <w:rsid w:val="00A026A5"/>
    <w:rsid w:val="00A026DE"/>
    <w:rsid w:val="00A02E26"/>
    <w:rsid w:val="00A03AA6"/>
    <w:rsid w:val="00A0448A"/>
    <w:rsid w:val="00A04C56"/>
    <w:rsid w:val="00A04EC9"/>
    <w:rsid w:val="00A05295"/>
    <w:rsid w:val="00A05CD3"/>
    <w:rsid w:val="00A063E3"/>
    <w:rsid w:val="00A065BC"/>
    <w:rsid w:val="00A0675F"/>
    <w:rsid w:val="00A06970"/>
    <w:rsid w:val="00A06D89"/>
    <w:rsid w:val="00A06E4D"/>
    <w:rsid w:val="00A06F90"/>
    <w:rsid w:val="00A07573"/>
    <w:rsid w:val="00A076B5"/>
    <w:rsid w:val="00A078DC"/>
    <w:rsid w:val="00A101C8"/>
    <w:rsid w:val="00A10C99"/>
    <w:rsid w:val="00A10D4C"/>
    <w:rsid w:val="00A112CF"/>
    <w:rsid w:val="00A113B9"/>
    <w:rsid w:val="00A113EC"/>
    <w:rsid w:val="00A11554"/>
    <w:rsid w:val="00A11AC7"/>
    <w:rsid w:val="00A11ADF"/>
    <w:rsid w:val="00A11FE0"/>
    <w:rsid w:val="00A125E9"/>
    <w:rsid w:val="00A12B2B"/>
    <w:rsid w:val="00A12BD3"/>
    <w:rsid w:val="00A12F2A"/>
    <w:rsid w:val="00A13339"/>
    <w:rsid w:val="00A134EA"/>
    <w:rsid w:val="00A146AE"/>
    <w:rsid w:val="00A1509C"/>
    <w:rsid w:val="00A1574A"/>
    <w:rsid w:val="00A15B0D"/>
    <w:rsid w:val="00A15BAA"/>
    <w:rsid w:val="00A15D1C"/>
    <w:rsid w:val="00A16AF7"/>
    <w:rsid w:val="00A16F07"/>
    <w:rsid w:val="00A17989"/>
    <w:rsid w:val="00A17BC4"/>
    <w:rsid w:val="00A17DAE"/>
    <w:rsid w:val="00A2048F"/>
    <w:rsid w:val="00A20894"/>
    <w:rsid w:val="00A21104"/>
    <w:rsid w:val="00A21427"/>
    <w:rsid w:val="00A2142B"/>
    <w:rsid w:val="00A21572"/>
    <w:rsid w:val="00A21ED7"/>
    <w:rsid w:val="00A22537"/>
    <w:rsid w:val="00A2295A"/>
    <w:rsid w:val="00A22E1A"/>
    <w:rsid w:val="00A23089"/>
    <w:rsid w:val="00A247F4"/>
    <w:rsid w:val="00A24CAE"/>
    <w:rsid w:val="00A24D90"/>
    <w:rsid w:val="00A250FA"/>
    <w:rsid w:val="00A25BC3"/>
    <w:rsid w:val="00A25C53"/>
    <w:rsid w:val="00A25EE5"/>
    <w:rsid w:val="00A2625E"/>
    <w:rsid w:val="00A26331"/>
    <w:rsid w:val="00A26F6F"/>
    <w:rsid w:val="00A26F72"/>
    <w:rsid w:val="00A27124"/>
    <w:rsid w:val="00A27255"/>
    <w:rsid w:val="00A27315"/>
    <w:rsid w:val="00A276C7"/>
    <w:rsid w:val="00A30BC4"/>
    <w:rsid w:val="00A30F0C"/>
    <w:rsid w:val="00A31134"/>
    <w:rsid w:val="00A31A8F"/>
    <w:rsid w:val="00A31CA8"/>
    <w:rsid w:val="00A31CC9"/>
    <w:rsid w:val="00A31DDD"/>
    <w:rsid w:val="00A31E96"/>
    <w:rsid w:val="00A32B60"/>
    <w:rsid w:val="00A335CB"/>
    <w:rsid w:val="00A342F5"/>
    <w:rsid w:val="00A347D6"/>
    <w:rsid w:val="00A34FE0"/>
    <w:rsid w:val="00A35AF9"/>
    <w:rsid w:val="00A35D6D"/>
    <w:rsid w:val="00A35DFD"/>
    <w:rsid w:val="00A35F4C"/>
    <w:rsid w:val="00A36340"/>
    <w:rsid w:val="00A36517"/>
    <w:rsid w:val="00A3708F"/>
    <w:rsid w:val="00A372C3"/>
    <w:rsid w:val="00A376AB"/>
    <w:rsid w:val="00A378A2"/>
    <w:rsid w:val="00A40048"/>
    <w:rsid w:val="00A4028F"/>
    <w:rsid w:val="00A40AE1"/>
    <w:rsid w:val="00A40C13"/>
    <w:rsid w:val="00A40C84"/>
    <w:rsid w:val="00A41017"/>
    <w:rsid w:val="00A41350"/>
    <w:rsid w:val="00A415DA"/>
    <w:rsid w:val="00A41D08"/>
    <w:rsid w:val="00A41F42"/>
    <w:rsid w:val="00A41F7D"/>
    <w:rsid w:val="00A42834"/>
    <w:rsid w:val="00A42B8D"/>
    <w:rsid w:val="00A42DDC"/>
    <w:rsid w:val="00A43FD8"/>
    <w:rsid w:val="00A443D1"/>
    <w:rsid w:val="00A44B73"/>
    <w:rsid w:val="00A44B8A"/>
    <w:rsid w:val="00A44CBE"/>
    <w:rsid w:val="00A44EB6"/>
    <w:rsid w:val="00A4501A"/>
    <w:rsid w:val="00A45170"/>
    <w:rsid w:val="00A45A35"/>
    <w:rsid w:val="00A4628E"/>
    <w:rsid w:val="00A46B15"/>
    <w:rsid w:val="00A473C2"/>
    <w:rsid w:val="00A47705"/>
    <w:rsid w:val="00A503DC"/>
    <w:rsid w:val="00A506C6"/>
    <w:rsid w:val="00A5158B"/>
    <w:rsid w:val="00A515D0"/>
    <w:rsid w:val="00A518DC"/>
    <w:rsid w:val="00A523CF"/>
    <w:rsid w:val="00A52C55"/>
    <w:rsid w:val="00A5316C"/>
    <w:rsid w:val="00A53798"/>
    <w:rsid w:val="00A5389F"/>
    <w:rsid w:val="00A54BE7"/>
    <w:rsid w:val="00A551E2"/>
    <w:rsid w:val="00A552B8"/>
    <w:rsid w:val="00A55470"/>
    <w:rsid w:val="00A558F6"/>
    <w:rsid w:val="00A55B55"/>
    <w:rsid w:val="00A566ED"/>
    <w:rsid w:val="00A568ED"/>
    <w:rsid w:val="00A57424"/>
    <w:rsid w:val="00A5746A"/>
    <w:rsid w:val="00A57511"/>
    <w:rsid w:val="00A60363"/>
    <w:rsid w:val="00A60456"/>
    <w:rsid w:val="00A605BC"/>
    <w:rsid w:val="00A60B49"/>
    <w:rsid w:val="00A60FDA"/>
    <w:rsid w:val="00A60FE4"/>
    <w:rsid w:val="00A620EC"/>
    <w:rsid w:val="00A621C2"/>
    <w:rsid w:val="00A6242B"/>
    <w:rsid w:val="00A62E02"/>
    <w:rsid w:val="00A633B5"/>
    <w:rsid w:val="00A642FA"/>
    <w:rsid w:val="00A64377"/>
    <w:rsid w:val="00A64509"/>
    <w:rsid w:val="00A6459D"/>
    <w:rsid w:val="00A65B56"/>
    <w:rsid w:val="00A65E1E"/>
    <w:rsid w:val="00A66440"/>
    <w:rsid w:val="00A66CCF"/>
    <w:rsid w:val="00A67A6A"/>
    <w:rsid w:val="00A70416"/>
    <w:rsid w:val="00A70EFC"/>
    <w:rsid w:val="00A714F4"/>
    <w:rsid w:val="00A71743"/>
    <w:rsid w:val="00A71BDC"/>
    <w:rsid w:val="00A71E5B"/>
    <w:rsid w:val="00A71E8E"/>
    <w:rsid w:val="00A71F10"/>
    <w:rsid w:val="00A72063"/>
    <w:rsid w:val="00A72322"/>
    <w:rsid w:val="00A72445"/>
    <w:rsid w:val="00A72E36"/>
    <w:rsid w:val="00A7313E"/>
    <w:rsid w:val="00A7318E"/>
    <w:rsid w:val="00A733CC"/>
    <w:rsid w:val="00A7368F"/>
    <w:rsid w:val="00A73ADA"/>
    <w:rsid w:val="00A73C2C"/>
    <w:rsid w:val="00A73EAF"/>
    <w:rsid w:val="00A73FE3"/>
    <w:rsid w:val="00A74BB5"/>
    <w:rsid w:val="00A74DB3"/>
    <w:rsid w:val="00A74F01"/>
    <w:rsid w:val="00A7531F"/>
    <w:rsid w:val="00A7537C"/>
    <w:rsid w:val="00A75532"/>
    <w:rsid w:val="00A758D8"/>
    <w:rsid w:val="00A75AF1"/>
    <w:rsid w:val="00A76486"/>
    <w:rsid w:val="00A7651A"/>
    <w:rsid w:val="00A76730"/>
    <w:rsid w:val="00A76BEF"/>
    <w:rsid w:val="00A7741E"/>
    <w:rsid w:val="00A777E5"/>
    <w:rsid w:val="00A77829"/>
    <w:rsid w:val="00A8032D"/>
    <w:rsid w:val="00A80764"/>
    <w:rsid w:val="00A80894"/>
    <w:rsid w:val="00A80F33"/>
    <w:rsid w:val="00A8104B"/>
    <w:rsid w:val="00A812B6"/>
    <w:rsid w:val="00A814F7"/>
    <w:rsid w:val="00A81926"/>
    <w:rsid w:val="00A81AF2"/>
    <w:rsid w:val="00A82031"/>
    <w:rsid w:val="00A82712"/>
    <w:rsid w:val="00A82AB6"/>
    <w:rsid w:val="00A8320A"/>
    <w:rsid w:val="00A83661"/>
    <w:rsid w:val="00A84142"/>
    <w:rsid w:val="00A84316"/>
    <w:rsid w:val="00A844F3"/>
    <w:rsid w:val="00A847D0"/>
    <w:rsid w:val="00A856C2"/>
    <w:rsid w:val="00A856F4"/>
    <w:rsid w:val="00A85FB0"/>
    <w:rsid w:val="00A864BE"/>
    <w:rsid w:val="00A86597"/>
    <w:rsid w:val="00A8759D"/>
    <w:rsid w:val="00A87FDC"/>
    <w:rsid w:val="00A90254"/>
    <w:rsid w:val="00A90670"/>
    <w:rsid w:val="00A90B8D"/>
    <w:rsid w:val="00A910DB"/>
    <w:rsid w:val="00A913FE"/>
    <w:rsid w:val="00A91655"/>
    <w:rsid w:val="00A91EAA"/>
    <w:rsid w:val="00A921BD"/>
    <w:rsid w:val="00A92241"/>
    <w:rsid w:val="00A92511"/>
    <w:rsid w:val="00A9270F"/>
    <w:rsid w:val="00A93284"/>
    <w:rsid w:val="00A940BD"/>
    <w:rsid w:val="00A94115"/>
    <w:rsid w:val="00A9478C"/>
    <w:rsid w:val="00A94FE9"/>
    <w:rsid w:val="00A95682"/>
    <w:rsid w:val="00A95A06"/>
    <w:rsid w:val="00A95FC7"/>
    <w:rsid w:val="00A96296"/>
    <w:rsid w:val="00A96C36"/>
    <w:rsid w:val="00A96FEA"/>
    <w:rsid w:val="00A97563"/>
    <w:rsid w:val="00A97D69"/>
    <w:rsid w:val="00AA07D2"/>
    <w:rsid w:val="00AA0932"/>
    <w:rsid w:val="00AA0F2B"/>
    <w:rsid w:val="00AA1244"/>
    <w:rsid w:val="00AA19F3"/>
    <w:rsid w:val="00AA2BBF"/>
    <w:rsid w:val="00AA2F35"/>
    <w:rsid w:val="00AA3760"/>
    <w:rsid w:val="00AA37CE"/>
    <w:rsid w:val="00AA3924"/>
    <w:rsid w:val="00AA3AC4"/>
    <w:rsid w:val="00AA40B8"/>
    <w:rsid w:val="00AA49DB"/>
    <w:rsid w:val="00AA49FA"/>
    <w:rsid w:val="00AA4C1B"/>
    <w:rsid w:val="00AA55F1"/>
    <w:rsid w:val="00AA62E8"/>
    <w:rsid w:val="00AA6F39"/>
    <w:rsid w:val="00AA7183"/>
    <w:rsid w:val="00AA79AD"/>
    <w:rsid w:val="00AB0B8D"/>
    <w:rsid w:val="00AB0DE1"/>
    <w:rsid w:val="00AB1170"/>
    <w:rsid w:val="00AB12DB"/>
    <w:rsid w:val="00AB15A4"/>
    <w:rsid w:val="00AB1ED5"/>
    <w:rsid w:val="00AB1FC3"/>
    <w:rsid w:val="00AB2334"/>
    <w:rsid w:val="00AB236A"/>
    <w:rsid w:val="00AB24D9"/>
    <w:rsid w:val="00AB25DE"/>
    <w:rsid w:val="00AB2716"/>
    <w:rsid w:val="00AB2868"/>
    <w:rsid w:val="00AB2C93"/>
    <w:rsid w:val="00AB3CFC"/>
    <w:rsid w:val="00AB3DF8"/>
    <w:rsid w:val="00AB400D"/>
    <w:rsid w:val="00AB485B"/>
    <w:rsid w:val="00AB4BD9"/>
    <w:rsid w:val="00AB5364"/>
    <w:rsid w:val="00AB562C"/>
    <w:rsid w:val="00AB59BE"/>
    <w:rsid w:val="00AB59E2"/>
    <w:rsid w:val="00AB6110"/>
    <w:rsid w:val="00AB6423"/>
    <w:rsid w:val="00AB65D3"/>
    <w:rsid w:val="00AB6B62"/>
    <w:rsid w:val="00AB71DB"/>
    <w:rsid w:val="00AB7408"/>
    <w:rsid w:val="00AB7CE7"/>
    <w:rsid w:val="00AB7D63"/>
    <w:rsid w:val="00AB7DBA"/>
    <w:rsid w:val="00AB7F16"/>
    <w:rsid w:val="00AC039F"/>
    <w:rsid w:val="00AC06D2"/>
    <w:rsid w:val="00AC0BD5"/>
    <w:rsid w:val="00AC0D9E"/>
    <w:rsid w:val="00AC21F4"/>
    <w:rsid w:val="00AC2F31"/>
    <w:rsid w:val="00AC32E5"/>
    <w:rsid w:val="00AC39DE"/>
    <w:rsid w:val="00AC3F61"/>
    <w:rsid w:val="00AC4945"/>
    <w:rsid w:val="00AC4BC0"/>
    <w:rsid w:val="00AC4C4E"/>
    <w:rsid w:val="00AC5056"/>
    <w:rsid w:val="00AC59B9"/>
    <w:rsid w:val="00AC5BA3"/>
    <w:rsid w:val="00AC64F7"/>
    <w:rsid w:val="00AC6B27"/>
    <w:rsid w:val="00AC6FA6"/>
    <w:rsid w:val="00AC71E1"/>
    <w:rsid w:val="00AC7B3F"/>
    <w:rsid w:val="00AD0163"/>
    <w:rsid w:val="00AD0217"/>
    <w:rsid w:val="00AD0A9C"/>
    <w:rsid w:val="00AD0BDB"/>
    <w:rsid w:val="00AD0F72"/>
    <w:rsid w:val="00AD13BF"/>
    <w:rsid w:val="00AD182C"/>
    <w:rsid w:val="00AD2671"/>
    <w:rsid w:val="00AD26F4"/>
    <w:rsid w:val="00AD2B1E"/>
    <w:rsid w:val="00AD2F44"/>
    <w:rsid w:val="00AD3869"/>
    <w:rsid w:val="00AD4051"/>
    <w:rsid w:val="00AD4B22"/>
    <w:rsid w:val="00AD501E"/>
    <w:rsid w:val="00AD50D7"/>
    <w:rsid w:val="00AD5A07"/>
    <w:rsid w:val="00AD64C2"/>
    <w:rsid w:val="00AD6693"/>
    <w:rsid w:val="00AD6B3F"/>
    <w:rsid w:val="00AD7B14"/>
    <w:rsid w:val="00AD7D6D"/>
    <w:rsid w:val="00AE06C4"/>
    <w:rsid w:val="00AE0D98"/>
    <w:rsid w:val="00AE0FA8"/>
    <w:rsid w:val="00AE20FB"/>
    <w:rsid w:val="00AE25F0"/>
    <w:rsid w:val="00AE2F30"/>
    <w:rsid w:val="00AE31EE"/>
    <w:rsid w:val="00AE32FA"/>
    <w:rsid w:val="00AE38B1"/>
    <w:rsid w:val="00AE4026"/>
    <w:rsid w:val="00AE41A5"/>
    <w:rsid w:val="00AE52A9"/>
    <w:rsid w:val="00AE52EF"/>
    <w:rsid w:val="00AE5375"/>
    <w:rsid w:val="00AE59F8"/>
    <w:rsid w:val="00AE5AB1"/>
    <w:rsid w:val="00AE5E65"/>
    <w:rsid w:val="00AE5FE5"/>
    <w:rsid w:val="00AE6958"/>
    <w:rsid w:val="00AE71A5"/>
    <w:rsid w:val="00AE7284"/>
    <w:rsid w:val="00AE73A9"/>
    <w:rsid w:val="00AE74B9"/>
    <w:rsid w:val="00AE7DD9"/>
    <w:rsid w:val="00AE7E69"/>
    <w:rsid w:val="00AE7F68"/>
    <w:rsid w:val="00AE7FE4"/>
    <w:rsid w:val="00AF0263"/>
    <w:rsid w:val="00AF0A64"/>
    <w:rsid w:val="00AF1492"/>
    <w:rsid w:val="00AF14A7"/>
    <w:rsid w:val="00AF16D2"/>
    <w:rsid w:val="00AF1D28"/>
    <w:rsid w:val="00AF20DA"/>
    <w:rsid w:val="00AF21FD"/>
    <w:rsid w:val="00AF23AF"/>
    <w:rsid w:val="00AF2A63"/>
    <w:rsid w:val="00AF3462"/>
    <w:rsid w:val="00AF35D3"/>
    <w:rsid w:val="00AF40E5"/>
    <w:rsid w:val="00AF4601"/>
    <w:rsid w:val="00AF4BB0"/>
    <w:rsid w:val="00AF5AC8"/>
    <w:rsid w:val="00AF61BF"/>
    <w:rsid w:val="00AF69C4"/>
    <w:rsid w:val="00AF71B6"/>
    <w:rsid w:val="00AF7384"/>
    <w:rsid w:val="00AF793F"/>
    <w:rsid w:val="00AF7B33"/>
    <w:rsid w:val="00AF7B80"/>
    <w:rsid w:val="00B0070C"/>
    <w:rsid w:val="00B00A60"/>
    <w:rsid w:val="00B01120"/>
    <w:rsid w:val="00B0159C"/>
    <w:rsid w:val="00B01927"/>
    <w:rsid w:val="00B01F6F"/>
    <w:rsid w:val="00B02222"/>
    <w:rsid w:val="00B0289B"/>
    <w:rsid w:val="00B03C13"/>
    <w:rsid w:val="00B045DC"/>
    <w:rsid w:val="00B0466C"/>
    <w:rsid w:val="00B05A40"/>
    <w:rsid w:val="00B05DBF"/>
    <w:rsid w:val="00B060A4"/>
    <w:rsid w:val="00B06BBF"/>
    <w:rsid w:val="00B06DE8"/>
    <w:rsid w:val="00B06E47"/>
    <w:rsid w:val="00B07D7A"/>
    <w:rsid w:val="00B07F5C"/>
    <w:rsid w:val="00B10156"/>
    <w:rsid w:val="00B10719"/>
    <w:rsid w:val="00B107D4"/>
    <w:rsid w:val="00B11B49"/>
    <w:rsid w:val="00B11DEA"/>
    <w:rsid w:val="00B11F1D"/>
    <w:rsid w:val="00B13027"/>
    <w:rsid w:val="00B139FE"/>
    <w:rsid w:val="00B13B5B"/>
    <w:rsid w:val="00B13CD5"/>
    <w:rsid w:val="00B141D9"/>
    <w:rsid w:val="00B1421D"/>
    <w:rsid w:val="00B145C0"/>
    <w:rsid w:val="00B14989"/>
    <w:rsid w:val="00B150F5"/>
    <w:rsid w:val="00B151C9"/>
    <w:rsid w:val="00B1543B"/>
    <w:rsid w:val="00B15B95"/>
    <w:rsid w:val="00B15C73"/>
    <w:rsid w:val="00B15CA2"/>
    <w:rsid w:val="00B15D24"/>
    <w:rsid w:val="00B16105"/>
    <w:rsid w:val="00B167A9"/>
    <w:rsid w:val="00B16BEE"/>
    <w:rsid w:val="00B16CA0"/>
    <w:rsid w:val="00B16FA2"/>
    <w:rsid w:val="00B1712C"/>
    <w:rsid w:val="00B17DB8"/>
    <w:rsid w:val="00B201A8"/>
    <w:rsid w:val="00B204D3"/>
    <w:rsid w:val="00B210F5"/>
    <w:rsid w:val="00B2134C"/>
    <w:rsid w:val="00B214EA"/>
    <w:rsid w:val="00B224E2"/>
    <w:rsid w:val="00B22603"/>
    <w:rsid w:val="00B2315E"/>
    <w:rsid w:val="00B23CD0"/>
    <w:rsid w:val="00B23EE6"/>
    <w:rsid w:val="00B24848"/>
    <w:rsid w:val="00B24D11"/>
    <w:rsid w:val="00B25DC5"/>
    <w:rsid w:val="00B25E4A"/>
    <w:rsid w:val="00B2622F"/>
    <w:rsid w:val="00B26790"/>
    <w:rsid w:val="00B26D94"/>
    <w:rsid w:val="00B272EC"/>
    <w:rsid w:val="00B27CF9"/>
    <w:rsid w:val="00B27FDF"/>
    <w:rsid w:val="00B30776"/>
    <w:rsid w:val="00B30851"/>
    <w:rsid w:val="00B30B33"/>
    <w:rsid w:val="00B30E85"/>
    <w:rsid w:val="00B3104A"/>
    <w:rsid w:val="00B3155E"/>
    <w:rsid w:val="00B317DB"/>
    <w:rsid w:val="00B320F8"/>
    <w:rsid w:val="00B32173"/>
    <w:rsid w:val="00B3312E"/>
    <w:rsid w:val="00B33B75"/>
    <w:rsid w:val="00B33C80"/>
    <w:rsid w:val="00B34310"/>
    <w:rsid w:val="00B34709"/>
    <w:rsid w:val="00B34A76"/>
    <w:rsid w:val="00B34C62"/>
    <w:rsid w:val="00B352D9"/>
    <w:rsid w:val="00B355CD"/>
    <w:rsid w:val="00B35AF4"/>
    <w:rsid w:val="00B365C9"/>
    <w:rsid w:val="00B36D5F"/>
    <w:rsid w:val="00B37659"/>
    <w:rsid w:val="00B37849"/>
    <w:rsid w:val="00B37C5C"/>
    <w:rsid w:val="00B37CC2"/>
    <w:rsid w:val="00B4012E"/>
    <w:rsid w:val="00B4033A"/>
    <w:rsid w:val="00B40942"/>
    <w:rsid w:val="00B417A5"/>
    <w:rsid w:val="00B4193F"/>
    <w:rsid w:val="00B4197E"/>
    <w:rsid w:val="00B41AB2"/>
    <w:rsid w:val="00B41D78"/>
    <w:rsid w:val="00B41D89"/>
    <w:rsid w:val="00B42B27"/>
    <w:rsid w:val="00B4315B"/>
    <w:rsid w:val="00B434F5"/>
    <w:rsid w:val="00B4360B"/>
    <w:rsid w:val="00B440F3"/>
    <w:rsid w:val="00B444B3"/>
    <w:rsid w:val="00B445FA"/>
    <w:rsid w:val="00B44A08"/>
    <w:rsid w:val="00B450E2"/>
    <w:rsid w:val="00B4543D"/>
    <w:rsid w:val="00B455E4"/>
    <w:rsid w:val="00B459B6"/>
    <w:rsid w:val="00B45FB3"/>
    <w:rsid w:val="00B46038"/>
    <w:rsid w:val="00B46BCA"/>
    <w:rsid w:val="00B46C31"/>
    <w:rsid w:val="00B46EA5"/>
    <w:rsid w:val="00B46F91"/>
    <w:rsid w:val="00B47872"/>
    <w:rsid w:val="00B47921"/>
    <w:rsid w:val="00B504A8"/>
    <w:rsid w:val="00B507D5"/>
    <w:rsid w:val="00B51112"/>
    <w:rsid w:val="00B5115F"/>
    <w:rsid w:val="00B513A8"/>
    <w:rsid w:val="00B51492"/>
    <w:rsid w:val="00B5178F"/>
    <w:rsid w:val="00B51BDB"/>
    <w:rsid w:val="00B51E3E"/>
    <w:rsid w:val="00B51ED7"/>
    <w:rsid w:val="00B5239E"/>
    <w:rsid w:val="00B52467"/>
    <w:rsid w:val="00B5248E"/>
    <w:rsid w:val="00B52F28"/>
    <w:rsid w:val="00B53343"/>
    <w:rsid w:val="00B535B6"/>
    <w:rsid w:val="00B53991"/>
    <w:rsid w:val="00B54251"/>
    <w:rsid w:val="00B549B2"/>
    <w:rsid w:val="00B550ED"/>
    <w:rsid w:val="00B55100"/>
    <w:rsid w:val="00B55477"/>
    <w:rsid w:val="00B5548C"/>
    <w:rsid w:val="00B555B9"/>
    <w:rsid w:val="00B55C3E"/>
    <w:rsid w:val="00B5605A"/>
    <w:rsid w:val="00B565F0"/>
    <w:rsid w:val="00B568AF"/>
    <w:rsid w:val="00B56BA1"/>
    <w:rsid w:val="00B56D96"/>
    <w:rsid w:val="00B57536"/>
    <w:rsid w:val="00B5798D"/>
    <w:rsid w:val="00B604FA"/>
    <w:rsid w:val="00B60810"/>
    <w:rsid w:val="00B608DD"/>
    <w:rsid w:val="00B60BDE"/>
    <w:rsid w:val="00B60DC6"/>
    <w:rsid w:val="00B60EEB"/>
    <w:rsid w:val="00B611A9"/>
    <w:rsid w:val="00B618C7"/>
    <w:rsid w:val="00B61F66"/>
    <w:rsid w:val="00B6209C"/>
    <w:rsid w:val="00B624D9"/>
    <w:rsid w:val="00B62C6F"/>
    <w:rsid w:val="00B632A0"/>
    <w:rsid w:val="00B6401C"/>
    <w:rsid w:val="00B64AF3"/>
    <w:rsid w:val="00B655F2"/>
    <w:rsid w:val="00B657E4"/>
    <w:rsid w:val="00B665FB"/>
    <w:rsid w:val="00B66775"/>
    <w:rsid w:val="00B6694A"/>
    <w:rsid w:val="00B6775F"/>
    <w:rsid w:val="00B70077"/>
    <w:rsid w:val="00B700CF"/>
    <w:rsid w:val="00B7030B"/>
    <w:rsid w:val="00B7057E"/>
    <w:rsid w:val="00B71639"/>
    <w:rsid w:val="00B735A8"/>
    <w:rsid w:val="00B73DC1"/>
    <w:rsid w:val="00B7485A"/>
    <w:rsid w:val="00B74C5A"/>
    <w:rsid w:val="00B74DD0"/>
    <w:rsid w:val="00B7507D"/>
    <w:rsid w:val="00B752E6"/>
    <w:rsid w:val="00B7536C"/>
    <w:rsid w:val="00B75792"/>
    <w:rsid w:val="00B75AC7"/>
    <w:rsid w:val="00B75C04"/>
    <w:rsid w:val="00B762FB"/>
    <w:rsid w:val="00B76A65"/>
    <w:rsid w:val="00B76BED"/>
    <w:rsid w:val="00B77165"/>
    <w:rsid w:val="00B77385"/>
    <w:rsid w:val="00B7788D"/>
    <w:rsid w:val="00B779E9"/>
    <w:rsid w:val="00B77F78"/>
    <w:rsid w:val="00B806B0"/>
    <w:rsid w:val="00B80A09"/>
    <w:rsid w:val="00B80A76"/>
    <w:rsid w:val="00B80B2D"/>
    <w:rsid w:val="00B8115E"/>
    <w:rsid w:val="00B81372"/>
    <w:rsid w:val="00B814AD"/>
    <w:rsid w:val="00B816DD"/>
    <w:rsid w:val="00B8173D"/>
    <w:rsid w:val="00B826C6"/>
    <w:rsid w:val="00B82981"/>
    <w:rsid w:val="00B83417"/>
    <w:rsid w:val="00B83B00"/>
    <w:rsid w:val="00B83C2B"/>
    <w:rsid w:val="00B83C3A"/>
    <w:rsid w:val="00B841D2"/>
    <w:rsid w:val="00B85143"/>
    <w:rsid w:val="00B851E6"/>
    <w:rsid w:val="00B852D4"/>
    <w:rsid w:val="00B866AB"/>
    <w:rsid w:val="00B86B92"/>
    <w:rsid w:val="00B87050"/>
    <w:rsid w:val="00B875D7"/>
    <w:rsid w:val="00B8787B"/>
    <w:rsid w:val="00B87DFB"/>
    <w:rsid w:val="00B87EB6"/>
    <w:rsid w:val="00B90613"/>
    <w:rsid w:val="00B90CC4"/>
    <w:rsid w:val="00B90F80"/>
    <w:rsid w:val="00B91794"/>
    <w:rsid w:val="00B91F80"/>
    <w:rsid w:val="00B932E6"/>
    <w:rsid w:val="00B9371F"/>
    <w:rsid w:val="00B939D8"/>
    <w:rsid w:val="00B93A25"/>
    <w:rsid w:val="00B93E19"/>
    <w:rsid w:val="00B941CC"/>
    <w:rsid w:val="00B9540B"/>
    <w:rsid w:val="00B95B94"/>
    <w:rsid w:val="00B95BA9"/>
    <w:rsid w:val="00B95D8F"/>
    <w:rsid w:val="00B96083"/>
    <w:rsid w:val="00B9684A"/>
    <w:rsid w:val="00B96D40"/>
    <w:rsid w:val="00B975D4"/>
    <w:rsid w:val="00B97984"/>
    <w:rsid w:val="00BA020A"/>
    <w:rsid w:val="00BA04D6"/>
    <w:rsid w:val="00BA08C0"/>
    <w:rsid w:val="00BA0BEB"/>
    <w:rsid w:val="00BA0C37"/>
    <w:rsid w:val="00BA0C8B"/>
    <w:rsid w:val="00BA0CDE"/>
    <w:rsid w:val="00BA0E60"/>
    <w:rsid w:val="00BA0FCF"/>
    <w:rsid w:val="00BA1284"/>
    <w:rsid w:val="00BA12A2"/>
    <w:rsid w:val="00BA1928"/>
    <w:rsid w:val="00BA1C93"/>
    <w:rsid w:val="00BA1F5F"/>
    <w:rsid w:val="00BA2F0D"/>
    <w:rsid w:val="00BA3283"/>
    <w:rsid w:val="00BA41F5"/>
    <w:rsid w:val="00BA4A00"/>
    <w:rsid w:val="00BA4DE4"/>
    <w:rsid w:val="00BA52DF"/>
    <w:rsid w:val="00BA5301"/>
    <w:rsid w:val="00BA5A04"/>
    <w:rsid w:val="00BA63E6"/>
    <w:rsid w:val="00BA6AF3"/>
    <w:rsid w:val="00BA6DFB"/>
    <w:rsid w:val="00BA6EFA"/>
    <w:rsid w:val="00BA788C"/>
    <w:rsid w:val="00BA79ED"/>
    <w:rsid w:val="00BB00C5"/>
    <w:rsid w:val="00BB03C2"/>
    <w:rsid w:val="00BB0B7C"/>
    <w:rsid w:val="00BB0B8B"/>
    <w:rsid w:val="00BB0DA6"/>
    <w:rsid w:val="00BB115C"/>
    <w:rsid w:val="00BB1B41"/>
    <w:rsid w:val="00BB1D62"/>
    <w:rsid w:val="00BB1E1C"/>
    <w:rsid w:val="00BB24B5"/>
    <w:rsid w:val="00BB2D1F"/>
    <w:rsid w:val="00BB4374"/>
    <w:rsid w:val="00BB450E"/>
    <w:rsid w:val="00BB45D6"/>
    <w:rsid w:val="00BB4976"/>
    <w:rsid w:val="00BB4AF2"/>
    <w:rsid w:val="00BB4BC6"/>
    <w:rsid w:val="00BB4C3E"/>
    <w:rsid w:val="00BB5AFD"/>
    <w:rsid w:val="00BB622D"/>
    <w:rsid w:val="00BB69FE"/>
    <w:rsid w:val="00BB724F"/>
    <w:rsid w:val="00BC0623"/>
    <w:rsid w:val="00BC099E"/>
    <w:rsid w:val="00BC0A4F"/>
    <w:rsid w:val="00BC1E32"/>
    <w:rsid w:val="00BC23BD"/>
    <w:rsid w:val="00BC2E57"/>
    <w:rsid w:val="00BC2F54"/>
    <w:rsid w:val="00BC38EF"/>
    <w:rsid w:val="00BC3F8F"/>
    <w:rsid w:val="00BC4B01"/>
    <w:rsid w:val="00BC4C8A"/>
    <w:rsid w:val="00BC4E56"/>
    <w:rsid w:val="00BC5D82"/>
    <w:rsid w:val="00BC5EF7"/>
    <w:rsid w:val="00BC6667"/>
    <w:rsid w:val="00BC6E02"/>
    <w:rsid w:val="00BC7143"/>
    <w:rsid w:val="00BC7162"/>
    <w:rsid w:val="00BC731D"/>
    <w:rsid w:val="00BC778C"/>
    <w:rsid w:val="00BC7832"/>
    <w:rsid w:val="00BC7E69"/>
    <w:rsid w:val="00BC7FE7"/>
    <w:rsid w:val="00BD04A4"/>
    <w:rsid w:val="00BD1863"/>
    <w:rsid w:val="00BD1F70"/>
    <w:rsid w:val="00BD224E"/>
    <w:rsid w:val="00BD29B1"/>
    <w:rsid w:val="00BD2AD1"/>
    <w:rsid w:val="00BD3182"/>
    <w:rsid w:val="00BD36E4"/>
    <w:rsid w:val="00BD412D"/>
    <w:rsid w:val="00BD51DC"/>
    <w:rsid w:val="00BD51FD"/>
    <w:rsid w:val="00BD526B"/>
    <w:rsid w:val="00BD5320"/>
    <w:rsid w:val="00BD5388"/>
    <w:rsid w:val="00BD628D"/>
    <w:rsid w:val="00BD661A"/>
    <w:rsid w:val="00BD668E"/>
    <w:rsid w:val="00BD680B"/>
    <w:rsid w:val="00BD6BF5"/>
    <w:rsid w:val="00BD6C56"/>
    <w:rsid w:val="00BD6D01"/>
    <w:rsid w:val="00BD7759"/>
    <w:rsid w:val="00BE013C"/>
    <w:rsid w:val="00BE05E7"/>
    <w:rsid w:val="00BE060B"/>
    <w:rsid w:val="00BE0A26"/>
    <w:rsid w:val="00BE0C1E"/>
    <w:rsid w:val="00BE154C"/>
    <w:rsid w:val="00BE27C4"/>
    <w:rsid w:val="00BE2DAD"/>
    <w:rsid w:val="00BE2F02"/>
    <w:rsid w:val="00BE3026"/>
    <w:rsid w:val="00BE3FE9"/>
    <w:rsid w:val="00BE47F4"/>
    <w:rsid w:val="00BE4FAA"/>
    <w:rsid w:val="00BE509C"/>
    <w:rsid w:val="00BE5EA4"/>
    <w:rsid w:val="00BE6B72"/>
    <w:rsid w:val="00BE6B89"/>
    <w:rsid w:val="00BE72A7"/>
    <w:rsid w:val="00BE768A"/>
    <w:rsid w:val="00BF012F"/>
    <w:rsid w:val="00BF0474"/>
    <w:rsid w:val="00BF05D8"/>
    <w:rsid w:val="00BF0AEC"/>
    <w:rsid w:val="00BF0B77"/>
    <w:rsid w:val="00BF16B6"/>
    <w:rsid w:val="00BF1D20"/>
    <w:rsid w:val="00BF20D2"/>
    <w:rsid w:val="00BF2FE6"/>
    <w:rsid w:val="00BF4177"/>
    <w:rsid w:val="00BF4A7E"/>
    <w:rsid w:val="00BF4AB7"/>
    <w:rsid w:val="00BF4E71"/>
    <w:rsid w:val="00BF5422"/>
    <w:rsid w:val="00BF6201"/>
    <w:rsid w:val="00BF6DB0"/>
    <w:rsid w:val="00BF788F"/>
    <w:rsid w:val="00BF7905"/>
    <w:rsid w:val="00BF79BD"/>
    <w:rsid w:val="00C00D99"/>
    <w:rsid w:val="00C00DAC"/>
    <w:rsid w:val="00C0106D"/>
    <w:rsid w:val="00C0146D"/>
    <w:rsid w:val="00C01ED0"/>
    <w:rsid w:val="00C02069"/>
    <w:rsid w:val="00C021C2"/>
    <w:rsid w:val="00C02763"/>
    <w:rsid w:val="00C034A3"/>
    <w:rsid w:val="00C03667"/>
    <w:rsid w:val="00C03BA7"/>
    <w:rsid w:val="00C03F53"/>
    <w:rsid w:val="00C040A6"/>
    <w:rsid w:val="00C04174"/>
    <w:rsid w:val="00C04526"/>
    <w:rsid w:val="00C04BCE"/>
    <w:rsid w:val="00C04D1E"/>
    <w:rsid w:val="00C0507E"/>
    <w:rsid w:val="00C0534F"/>
    <w:rsid w:val="00C05362"/>
    <w:rsid w:val="00C055AA"/>
    <w:rsid w:val="00C058E7"/>
    <w:rsid w:val="00C05A64"/>
    <w:rsid w:val="00C05A8C"/>
    <w:rsid w:val="00C0623C"/>
    <w:rsid w:val="00C063D5"/>
    <w:rsid w:val="00C06C6F"/>
    <w:rsid w:val="00C06DBD"/>
    <w:rsid w:val="00C07977"/>
    <w:rsid w:val="00C07A75"/>
    <w:rsid w:val="00C07DCD"/>
    <w:rsid w:val="00C07F8F"/>
    <w:rsid w:val="00C1043F"/>
    <w:rsid w:val="00C1114B"/>
    <w:rsid w:val="00C11556"/>
    <w:rsid w:val="00C116ED"/>
    <w:rsid w:val="00C11BE6"/>
    <w:rsid w:val="00C11CB2"/>
    <w:rsid w:val="00C11F96"/>
    <w:rsid w:val="00C124C3"/>
    <w:rsid w:val="00C128FC"/>
    <w:rsid w:val="00C12CBF"/>
    <w:rsid w:val="00C132A4"/>
    <w:rsid w:val="00C13F56"/>
    <w:rsid w:val="00C13FAE"/>
    <w:rsid w:val="00C14CCD"/>
    <w:rsid w:val="00C15440"/>
    <w:rsid w:val="00C15EE8"/>
    <w:rsid w:val="00C16143"/>
    <w:rsid w:val="00C16337"/>
    <w:rsid w:val="00C16473"/>
    <w:rsid w:val="00C16E23"/>
    <w:rsid w:val="00C16F90"/>
    <w:rsid w:val="00C17259"/>
    <w:rsid w:val="00C174A6"/>
    <w:rsid w:val="00C2047B"/>
    <w:rsid w:val="00C20488"/>
    <w:rsid w:val="00C22172"/>
    <w:rsid w:val="00C221B9"/>
    <w:rsid w:val="00C22599"/>
    <w:rsid w:val="00C22C80"/>
    <w:rsid w:val="00C22DDD"/>
    <w:rsid w:val="00C231BA"/>
    <w:rsid w:val="00C23379"/>
    <w:rsid w:val="00C24035"/>
    <w:rsid w:val="00C24ECE"/>
    <w:rsid w:val="00C25172"/>
    <w:rsid w:val="00C252FB"/>
    <w:rsid w:val="00C2550B"/>
    <w:rsid w:val="00C2581B"/>
    <w:rsid w:val="00C25A0A"/>
    <w:rsid w:val="00C25B04"/>
    <w:rsid w:val="00C2693D"/>
    <w:rsid w:val="00C27275"/>
    <w:rsid w:val="00C27706"/>
    <w:rsid w:val="00C30566"/>
    <w:rsid w:val="00C308E3"/>
    <w:rsid w:val="00C30AB5"/>
    <w:rsid w:val="00C313C0"/>
    <w:rsid w:val="00C31886"/>
    <w:rsid w:val="00C318F2"/>
    <w:rsid w:val="00C31AA8"/>
    <w:rsid w:val="00C326FD"/>
    <w:rsid w:val="00C33277"/>
    <w:rsid w:val="00C335A1"/>
    <w:rsid w:val="00C33F84"/>
    <w:rsid w:val="00C34191"/>
    <w:rsid w:val="00C346D9"/>
    <w:rsid w:val="00C35251"/>
    <w:rsid w:val="00C356D0"/>
    <w:rsid w:val="00C35D58"/>
    <w:rsid w:val="00C367CA"/>
    <w:rsid w:val="00C36EFF"/>
    <w:rsid w:val="00C407A9"/>
    <w:rsid w:val="00C4098F"/>
    <w:rsid w:val="00C40B2F"/>
    <w:rsid w:val="00C41316"/>
    <w:rsid w:val="00C41355"/>
    <w:rsid w:val="00C416E6"/>
    <w:rsid w:val="00C41F99"/>
    <w:rsid w:val="00C42C24"/>
    <w:rsid w:val="00C43AFC"/>
    <w:rsid w:val="00C44E94"/>
    <w:rsid w:val="00C451B7"/>
    <w:rsid w:val="00C4538B"/>
    <w:rsid w:val="00C45B45"/>
    <w:rsid w:val="00C465AF"/>
    <w:rsid w:val="00C46D10"/>
    <w:rsid w:val="00C47125"/>
    <w:rsid w:val="00C47799"/>
    <w:rsid w:val="00C47FDF"/>
    <w:rsid w:val="00C508C0"/>
    <w:rsid w:val="00C50F27"/>
    <w:rsid w:val="00C5118B"/>
    <w:rsid w:val="00C5164B"/>
    <w:rsid w:val="00C52BBE"/>
    <w:rsid w:val="00C52E67"/>
    <w:rsid w:val="00C52EF0"/>
    <w:rsid w:val="00C531BE"/>
    <w:rsid w:val="00C534E3"/>
    <w:rsid w:val="00C5417B"/>
    <w:rsid w:val="00C5470E"/>
    <w:rsid w:val="00C55668"/>
    <w:rsid w:val="00C55EF2"/>
    <w:rsid w:val="00C55F0E"/>
    <w:rsid w:val="00C562B6"/>
    <w:rsid w:val="00C56A98"/>
    <w:rsid w:val="00C56C7B"/>
    <w:rsid w:val="00C56E4B"/>
    <w:rsid w:val="00C57A05"/>
    <w:rsid w:val="00C60303"/>
    <w:rsid w:val="00C604CC"/>
    <w:rsid w:val="00C610D5"/>
    <w:rsid w:val="00C6157A"/>
    <w:rsid w:val="00C61A77"/>
    <w:rsid w:val="00C61EB5"/>
    <w:rsid w:val="00C620CD"/>
    <w:rsid w:val="00C62746"/>
    <w:rsid w:val="00C63002"/>
    <w:rsid w:val="00C634B5"/>
    <w:rsid w:val="00C64283"/>
    <w:rsid w:val="00C6442D"/>
    <w:rsid w:val="00C64728"/>
    <w:rsid w:val="00C65A0C"/>
    <w:rsid w:val="00C6647A"/>
    <w:rsid w:val="00C668AD"/>
    <w:rsid w:val="00C66A17"/>
    <w:rsid w:val="00C6715F"/>
    <w:rsid w:val="00C6720F"/>
    <w:rsid w:val="00C6787D"/>
    <w:rsid w:val="00C67A68"/>
    <w:rsid w:val="00C703F6"/>
    <w:rsid w:val="00C70B22"/>
    <w:rsid w:val="00C7157E"/>
    <w:rsid w:val="00C71581"/>
    <w:rsid w:val="00C721F3"/>
    <w:rsid w:val="00C72417"/>
    <w:rsid w:val="00C7245F"/>
    <w:rsid w:val="00C72538"/>
    <w:rsid w:val="00C72539"/>
    <w:rsid w:val="00C72624"/>
    <w:rsid w:val="00C72952"/>
    <w:rsid w:val="00C72BE1"/>
    <w:rsid w:val="00C72CF3"/>
    <w:rsid w:val="00C7317E"/>
    <w:rsid w:val="00C7321B"/>
    <w:rsid w:val="00C73631"/>
    <w:rsid w:val="00C736D8"/>
    <w:rsid w:val="00C73B47"/>
    <w:rsid w:val="00C73BC5"/>
    <w:rsid w:val="00C74728"/>
    <w:rsid w:val="00C74929"/>
    <w:rsid w:val="00C752D0"/>
    <w:rsid w:val="00C75D88"/>
    <w:rsid w:val="00C75DFB"/>
    <w:rsid w:val="00C764FB"/>
    <w:rsid w:val="00C765A9"/>
    <w:rsid w:val="00C769E0"/>
    <w:rsid w:val="00C76A3A"/>
    <w:rsid w:val="00C77325"/>
    <w:rsid w:val="00C775AF"/>
    <w:rsid w:val="00C8039E"/>
    <w:rsid w:val="00C805FF"/>
    <w:rsid w:val="00C818CB"/>
    <w:rsid w:val="00C821E4"/>
    <w:rsid w:val="00C8222B"/>
    <w:rsid w:val="00C82C70"/>
    <w:rsid w:val="00C82F3D"/>
    <w:rsid w:val="00C82F3E"/>
    <w:rsid w:val="00C8306B"/>
    <w:rsid w:val="00C83258"/>
    <w:rsid w:val="00C83505"/>
    <w:rsid w:val="00C8459B"/>
    <w:rsid w:val="00C84926"/>
    <w:rsid w:val="00C84A0A"/>
    <w:rsid w:val="00C85AAB"/>
    <w:rsid w:val="00C85E05"/>
    <w:rsid w:val="00C86564"/>
    <w:rsid w:val="00C8663F"/>
    <w:rsid w:val="00C86872"/>
    <w:rsid w:val="00C909C6"/>
    <w:rsid w:val="00C90DF2"/>
    <w:rsid w:val="00C90EE4"/>
    <w:rsid w:val="00C91109"/>
    <w:rsid w:val="00C91E8C"/>
    <w:rsid w:val="00C922AD"/>
    <w:rsid w:val="00C925B4"/>
    <w:rsid w:val="00C92B6B"/>
    <w:rsid w:val="00C92F2D"/>
    <w:rsid w:val="00C93071"/>
    <w:rsid w:val="00C934A6"/>
    <w:rsid w:val="00C93BD1"/>
    <w:rsid w:val="00C93BFA"/>
    <w:rsid w:val="00C93C7D"/>
    <w:rsid w:val="00C93F28"/>
    <w:rsid w:val="00C93F35"/>
    <w:rsid w:val="00C947EA"/>
    <w:rsid w:val="00C9489B"/>
    <w:rsid w:val="00C94932"/>
    <w:rsid w:val="00C94E46"/>
    <w:rsid w:val="00C94F72"/>
    <w:rsid w:val="00C95165"/>
    <w:rsid w:val="00C95D24"/>
    <w:rsid w:val="00C965A5"/>
    <w:rsid w:val="00C967E1"/>
    <w:rsid w:val="00C96BA8"/>
    <w:rsid w:val="00C9740C"/>
    <w:rsid w:val="00C977B4"/>
    <w:rsid w:val="00CA085B"/>
    <w:rsid w:val="00CA0946"/>
    <w:rsid w:val="00CA1C4F"/>
    <w:rsid w:val="00CA1E12"/>
    <w:rsid w:val="00CA22E3"/>
    <w:rsid w:val="00CA2406"/>
    <w:rsid w:val="00CA2850"/>
    <w:rsid w:val="00CA2CBA"/>
    <w:rsid w:val="00CA3016"/>
    <w:rsid w:val="00CA37A0"/>
    <w:rsid w:val="00CA38E8"/>
    <w:rsid w:val="00CA445E"/>
    <w:rsid w:val="00CA48D6"/>
    <w:rsid w:val="00CA4E06"/>
    <w:rsid w:val="00CA50EB"/>
    <w:rsid w:val="00CA5119"/>
    <w:rsid w:val="00CA537B"/>
    <w:rsid w:val="00CA64C2"/>
    <w:rsid w:val="00CA67C0"/>
    <w:rsid w:val="00CA6948"/>
    <w:rsid w:val="00CA6996"/>
    <w:rsid w:val="00CA6A05"/>
    <w:rsid w:val="00CA71AA"/>
    <w:rsid w:val="00CA731C"/>
    <w:rsid w:val="00CA7443"/>
    <w:rsid w:val="00CA7E37"/>
    <w:rsid w:val="00CA7F59"/>
    <w:rsid w:val="00CB02C5"/>
    <w:rsid w:val="00CB0548"/>
    <w:rsid w:val="00CB0B98"/>
    <w:rsid w:val="00CB1424"/>
    <w:rsid w:val="00CB1777"/>
    <w:rsid w:val="00CB2011"/>
    <w:rsid w:val="00CB22F8"/>
    <w:rsid w:val="00CB267C"/>
    <w:rsid w:val="00CB29A3"/>
    <w:rsid w:val="00CB311E"/>
    <w:rsid w:val="00CB34C0"/>
    <w:rsid w:val="00CB41AE"/>
    <w:rsid w:val="00CB444F"/>
    <w:rsid w:val="00CB4487"/>
    <w:rsid w:val="00CB4786"/>
    <w:rsid w:val="00CB485E"/>
    <w:rsid w:val="00CB49D1"/>
    <w:rsid w:val="00CB4F9A"/>
    <w:rsid w:val="00CB6518"/>
    <w:rsid w:val="00CB7136"/>
    <w:rsid w:val="00CB78C5"/>
    <w:rsid w:val="00CB79EC"/>
    <w:rsid w:val="00CB7B25"/>
    <w:rsid w:val="00CB7E41"/>
    <w:rsid w:val="00CC1198"/>
    <w:rsid w:val="00CC162A"/>
    <w:rsid w:val="00CC1FC6"/>
    <w:rsid w:val="00CC20FE"/>
    <w:rsid w:val="00CC2148"/>
    <w:rsid w:val="00CC29E3"/>
    <w:rsid w:val="00CC39A8"/>
    <w:rsid w:val="00CC3E06"/>
    <w:rsid w:val="00CC4316"/>
    <w:rsid w:val="00CC4A18"/>
    <w:rsid w:val="00CC4F00"/>
    <w:rsid w:val="00CC4F8D"/>
    <w:rsid w:val="00CC5655"/>
    <w:rsid w:val="00CC624D"/>
    <w:rsid w:val="00CC661B"/>
    <w:rsid w:val="00CC6AB6"/>
    <w:rsid w:val="00CC6D20"/>
    <w:rsid w:val="00CC7597"/>
    <w:rsid w:val="00CC777C"/>
    <w:rsid w:val="00CD00AB"/>
    <w:rsid w:val="00CD083D"/>
    <w:rsid w:val="00CD0D04"/>
    <w:rsid w:val="00CD0E38"/>
    <w:rsid w:val="00CD12A2"/>
    <w:rsid w:val="00CD1820"/>
    <w:rsid w:val="00CD199F"/>
    <w:rsid w:val="00CD24D7"/>
    <w:rsid w:val="00CD29E3"/>
    <w:rsid w:val="00CD2AE7"/>
    <w:rsid w:val="00CD2BD0"/>
    <w:rsid w:val="00CD39E6"/>
    <w:rsid w:val="00CD3CED"/>
    <w:rsid w:val="00CD434C"/>
    <w:rsid w:val="00CD472B"/>
    <w:rsid w:val="00CD4B9F"/>
    <w:rsid w:val="00CD4C7B"/>
    <w:rsid w:val="00CD4F25"/>
    <w:rsid w:val="00CD5224"/>
    <w:rsid w:val="00CD54F0"/>
    <w:rsid w:val="00CD56B2"/>
    <w:rsid w:val="00CD5890"/>
    <w:rsid w:val="00CD5B96"/>
    <w:rsid w:val="00CD5DAE"/>
    <w:rsid w:val="00CD5FCB"/>
    <w:rsid w:val="00CD65EA"/>
    <w:rsid w:val="00CD6B04"/>
    <w:rsid w:val="00CD7253"/>
    <w:rsid w:val="00CD7CB0"/>
    <w:rsid w:val="00CD7F7B"/>
    <w:rsid w:val="00CE05C4"/>
    <w:rsid w:val="00CE064A"/>
    <w:rsid w:val="00CE0854"/>
    <w:rsid w:val="00CE0A6B"/>
    <w:rsid w:val="00CE0F5A"/>
    <w:rsid w:val="00CE1C1F"/>
    <w:rsid w:val="00CE1D74"/>
    <w:rsid w:val="00CE21A8"/>
    <w:rsid w:val="00CE2336"/>
    <w:rsid w:val="00CE23B4"/>
    <w:rsid w:val="00CE2848"/>
    <w:rsid w:val="00CE2975"/>
    <w:rsid w:val="00CE2A16"/>
    <w:rsid w:val="00CE2D87"/>
    <w:rsid w:val="00CE3406"/>
    <w:rsid w:val="00CE37C3"/>
    <w:rsid w:val="00CE3A39"/>
    <w:rsid w:val="00CE3F11"/>
    <w:rsid w:val="00CE4362"/>
    <w:rsid w:val="00CE4488"/>
    <w:rsid w:val="00CE458B"/>
    <w:rsid w:val="00CE47DC"/>
    <w:rsid w:val="00CE4FEB"/>
    <w:rsid w:val="00CE54FB"/>
    <w:rsid w:val="00CE5897"/>
    <w:rsid w:val="00CE604B"/>
    <w:rsid w:val="00CE632B"/>
    <w:rsid w:val="00CE665B"/>
    <w:rsid w:val="00CE69AE"/>
    <w:rsid w:val="00CE7188"/>
    <w:rsid w:val="00CE7B4C"/>
    <w:rsid w:val="00CF1E78"/>
    <w:rsid w:val="00CF22C2"/>
    <w:rsid w:val="00CF2988"/>
    <w:rsid w:val="00CF2D74"/>
    <w:rsid w:val="00CF30BC"/>
    <w:rsid w:val="00CF32ED"/>
    <w:rsid w:val="00CF35B7"/>
    <w:rsid w:val="00CF3772"/>
    <w:rsid w:val="00CF37D6"/>
    <w:rsid w:val="00CF3B43"/>
    <w:rsid w:val="00CF4682"/>
    <w:rsid w:val="00CF48B7"/>
    <w:rsid w:val="00CF57C1"/>
    <w:rsid w:val="00CF58A6"/>
    <w:rsid w:val="00CF5E18"/>
    <w:rsid w:val="00CF5F7C"/>
    <w:rsid w:val="00CF63FD"/>
    <w:rsid w:val="00CF6DA9"/>
    <w:rsid w:val="00CF7623"/>
    <w:rsid w:val="00CF7E20"/>
    <w:rsid w:val="00D0007E"/>
    <w:rsid w:val="00D006DB"/>
    <w:rsid w:val="00D00B52"/>
    <w:rsid w:val="00D012A4"/>
    <w:rsid w:val="00D01BEE"/>
    <w:rsid w:val="00D01CD8"/>
    <w:rsid w:val="00D02481"/>
    <w:rsid w:val="00D02635"/>
    <w:rsid w:val="00D02760"/>
    <w:rsid w:val="00D03149"/>
    <w:rsid w:val="00D03155"/>
    <w:rsid w:val="00D036C8"/>
    <w:rsid w:val="00D036F0"/>
    <w:rsid w:val="00D03C0E"/>
    <w:rsid w:val="00D03E28"/>
    <w:rsid w:val="00D040DB"/>
    <w:rsid w:val="00D04A2B"/>
    <w:rsid w:val="00D05569"/>
    <w:rsid w:val="00D05A0C"/>
    <w:rsid w:val="00D05D3F"/>
    <w:rsid w:val="00D05DC4"/>
    <w:rsid w:val="00D05DCC"/>
    <w:rsid w:val="00D0621A"/>
    <w:rsid w:val="00D104B4"/>
    <w:rsid w:val="00D10519"/>
    <w:rsid w:val="00D107BA"/>
    <w:rsid w:val="00D108CA"/>
    <w:rsid w:val="00D10B2C"/>
    <w:rsid w:val="00D116DD"/>
    <w:rsid w:val="00D1177E"/>
    <w:rsid w:val="00D11EF2"/>
    <w:rsid w:val="00D1201D"/>
    <w:rsid w:val="00D120C3"/>
    <w:rsid w:val="00D121DD"/>
    <w:rsid w:val="00D1230E"/>
    <w:rsid w:val="00D12B99"/>
    <w:rsid w:val="00D1317E"/>
    <w:rsid w:val="00D13554"/>
    <w:rsid w:val="00D13DB2"/>
    <w:rsid w:val="00D13F3D"/>
    <w:rsid w:val="00D14723"/>
    <w:rsid w:val="00D14DC5"/>
    <w:rsid w:val="00D1517A"/>
    <w:rsid w:val="00D15710"/>
    <w:rsid w:val="00D15961"/>
    <w:rsid w:val="00D15ACF"/>
    <w:rsid w:val="00D15F37"/>
    <w:rsid w:val="00D161FF"/>
    <w:rsid w:val="00D163B2"/>
    <w:rsid w:val="00D17934"/>
    <w:rsid w:val="00D17F8F"/>
    <w:rsid w:val="00D2087A"/>
    <w:rsid w:val="00D21397"/>
    <w:rsid w:val="00D2148A"/>
    <w:rsid w:val="00D219B2"/>
    <w:rsid w:val="00D21A6E"/>
    <w:rsid w:val="00D21E10"/>
    <w:rsid w:val="00D226CB"/>
    <w:rsid w:val="00D228C4"/>
    <w:rsid w:val="00D22E0B"/>
    <w:rsid w:val="00D234B3"/>
    <w:rsid w:val="00D24D46"/>
    <w:rsid w:val="00D24F11"/>
    <w:rsid w:val="00D25D3D"/>
    <w:rsid w:val="00D25EA1"/>
    <w:rsid w:val="00D2691E"/>
    <w:rsid w:val="00D26CD3"/>
    <w:rsid w:val="00D26D96"/>
    <w:rsid w:val="00D27A17"/>
    <w:rsid w:val="00D27A93"/>
    <w:rsid w:val="00D304A8"/>
    <w:rsid w:val="00D30B16"/>
    <w:rsid w:val="00D31118"/>
    <w:rsid w:val="00D317B1"/>
    <w:rsid w:val="00D31DB8"/>
    <w:rsid w:val="00D31E95"/>
    <w:rsid w:val="00D3256B"/>
    <w:rsid w:val="00D3283D"/>
    <w:rsid w:val="00D32A21"/>
    <w:rsid w:val="00D33BF5"/>
    <w:rsid w:val="00D3406E"/>
    <w:rsid w:val="00D34A33"/>
    <w:rsid w:val="00D35121"/>
    <w:rsid w:val="00D3532C"/>
    <w:rsid w:val="00D358E8"/>
    <w:rsid w:val="00D35BF9"/>
    <w:rsid w:val="00D36678"/>
    <w:rsid w:val="00D36B4E"/>
    <w:rsid w:val="00D36F71"/>
    <w:rsid w:val="00D37432"/>
    <w:rsid w:val="00D37F3D"/>
    <w:rsid w:val="00D40F6E"/>
    <w:rsid w:val="00D41BD0"/>
    <w:rsid w:val="00D41C01"/>
    <w:rsid w:val="00D42656"/>
    <w:rsid w:val="00D42C20"/>
    <w:rsid w:val="00D42C87"/>
    <w:rsid w:val="00D430FC"/>
    <w:rsid w:val="00D43211"/>
    <w:rsid w:val="00D44218"/>
    <w:rsid w:val="00D44960"/>
    <w:rsid w:val="00D44DC8"/>
    <w:rsid w:val="00D450CC"/>
    <w:rsid w:val="00D4590F"/>
    <w:rsid w:val="00D45D52"/>
    <w:rsid w:val="00D45E58"/>
    <w:rsid w:val="00D46BFB"/>
    <w:rsid w:val="00D46D14"/>
    <w:rsid w:val="00D46DAB"/>
    <w:rsid w:val="00D46F99"/>
    <w:rsid w:val="00D472DD"/>
    <w:rsid w:val="00D4737E"/>
    <w:rsid w:val="00D473D5"/>
    <w:rsid w:val="00D4799A"/>
    <w:rsid w:val="00D47EDE"/>
    <w:rsid w:val="00D50604"/>
    <w:rsid w:val="00D51118"/>
    <w:rsid w:val="00D519EF"/>
    <w:rsid w:val="00D51A28"/>
    <w:rsid w:val="00D51F5B"/>
    <w:rsid w:val="00D5202F"/>
    <w:rsid w:val="00D520E9"/>
    <w:rsid w:val="00D52673"/>
    <w:rsid w:val="00D526E0"/>
    <w:rsid w:val="00D5283C"/>
    <w:rsid w:val="00D52D8F"/>
    <w:rsid w:val="00D52DA3"/>
    <w:rsid w:val="00D5356B"/>
    <w:rsid w:val="00D53E2B"/>
    <w:rsid w:val="00D53FF2"/>
    <w:rsid w:val="00D549C0"/>
    <w:rsid w:val="00D54B5E"/>
    <w:rsid w:val="00D54D72"/>
    <w:rsid w:val="00D54E73"/>
    <w:rsid w:val="00D55109"/>
    <w:rsid w:val="00D55179"/>
    <w:rsid w:val="00D5522A"/>
    <w:rsid w:val="00D55CAC"/>
    <w:rsid w:val="00D55EDF"/>
    <w:rsid w:val="00D5615B"/>
    <w:rsid w:val="00D566CF"/>
    <w:rsid w:val="00D568D9"/>
    <w:rsid w:val="00D5740A"/>
    <w:rsid w:val="00D57569"/>
    <w:rsid w:val="00D576AD"/>
    <w:rsid w:val="00D57AE9"/>
    <w:rsid w:val="00D57F40"/>
    <w:rsid w:val="00D60B19"/>
    <w:rsid w:val="00D60C9E"/>
    <w:rsid w:val="00D60E13"/>
    <w:rsid w:val="00D61697"/>
    <w:rsid w:val="00D62120"/>
    <w:rsid w:val="00D6306C"/>
    <w:rsid w:val="00D6345A"/>
    <w:rsid w:val="00D63CAC"/>
    <w:rsid w:val="00D63DC4"/>
    <w:rsid w:val="00D6430E"/>
    <w:rsid w:val="00D64324"/>
    <w:rsid w:val="00D65438"/>
    <w:rsid w:val="00D65F66"/>
    <w:rsid w:val="00D66287"/>
    <w:rsid w:val="00D66951"/>
    <w:rsid w:val="00D669B7"/>
    <w:rsid w:val="00D66A00"/>
    <w:rsid w:val="00D66EA0"/>
    <w:rsid w:val="00D674F5"/>
    <w:rsid w:val="00D67FE8"/>
    <w:rsid w:val="00D70461"/>
    <w:rsid w:val="00D7065C"/>
    <w:rsid w:val="00D70F62"/>
    <w:rsid w:val="00D70FBB"/>
    <w:rsid w:val="00D71245"/>
    <w:rsid w:val="00D722F8"/>
    <w:rsid w:val="00D72631"/>
    <w:rsid w:val="00D72CA9"/>
    <w:rsid w:val="00D72F5D"/>
    <w:rsid w:val="00D738DB"/>
    <w:rsid w:val="00D739F7"/>
    <w:rsid w:val="00D75741"/>
    <w:rsid w:val="00D7583C"/>
    <w:rsid w:val="00D75895"/>
    <w:rsid w:val="00D76773"/>
    <w:rsid w:val="00D76807"/>
    <w:rsid w:val="00D7778A"/>
    <w:rsid w:val="00D77DB8"/>
    <w:rsid w:val="00D80128"/>
    <w:rsid w:val="00D80448"/>
    <w:rsid w:val="00D80A69"/>
    <w:rsid w:val="00D8141F"/>
    <w:rsid w:val="00D81834"/>
    <w:rsid w:val="00D82A1F"/>
    <w:rsid w:val="00D82A5C"/>
    <w:rsid w:val="00D82B2C"/>
    <w:rsid w:val="00D82E5D"/>
    <w:rsid w:val="00D83D23"/>
    <w:rsid w:val="00D83F90"/>
    <w:rsid w:val="00D83FBD"/>
    <w:rsid w:val="00D8432E"/>
    <w:rsid w:val="00D84B2C"/>
    <w:rsid w:val="00D84C07"/>
    <w:rsid w:val="00D852F3"/>
    <w:rsid w:val="00D85759"/>
    <w:rsid w:val="00D8586A"/>
    <w:rsid w:val="00D86195"/>
    <w:rsid w:val="00D861DE"/>
    <w:rsid w:val="00D86C34"/>
    <w:rsid w:val="00D87063"/>
    <w:rsid w:val="00D87C75"/>
    <w:rsid w:val="00D87DC8"/>
    <w:rsid w:val="00D9075E"/>
    <w:rsid w:val="00D924A0"/>
    <w:rsid w:val="00D92ACE"/>
    <w:rsid w:val="00D92E47"/>
    <w:rsid w:val="00D93A05"/>
    <w:rsid w:val="00D93A1A"/>
    <w:rsid w:val="00D95046"/>
    <w:rsid w:val="00D95A06"/>
    <w:rsid w:val="00D975B7"/>
    <w:rsid w:val="00D975E3"/>
    <w:rsid w:val="00DA0844"/>
    <w:rsid w:val="00DA0ADD"/>
    <w:rsid w:val="00DA1149"/>
    <w:rsid w:val="00DA2036"/>
    <w:rsid w:val="00DA232D"/>
    <w:rsid w:val="00DA2EBE"/>
    <w:rsid w:val="00DA2F5E"/>
    <w:rsid w:val="00DA32CC"/>
    <w:rsid w:val="00DA3BA0"/>
    <w:rsid w:val="00DA3C7D"/>
    <w:rsid w:val="00DA40E7"/>
    <w:rsid w:val="00DA447A"/>
    <w:rsid w:val="00DA4600"/>
    <w:rsid w:val="00DA4EC8"/>
    <w:rsid w:val="00DA56A2"/>
    <w:rsid w:val="00DA5813"/>
    <w:rsid w:val="00DA583D"/>
    <w:rsid w:val="00DA5D79"/>
    <w:rsid w:val="00DA5E66"/>
    <w:rsid w:val="00DA61AB"/>
    <w:rsid w:val="00DA676B"/>
    <w:rsid w:val="00DA708B"/>
    <w:rsid w:val="00DA75BA"/>
    <w:rsid w:val="00DA765E"/>
    <w:rsid w:val="00DA7B91"/>
    <w:rsid w:val="00DB0229"/>
    <w:rsid w:val="00DB05B0"/>
    <w:rsid w:val="00DB0CDA"/>
    <w:rsid w:val="00DB161D"/>
    <w:rsid w:val="00DB1794"/>
    <w:rsid w:val="00DB1C82"/>
    <w:rsid w:val="00DB1D3C"/>
    <w:rsid w:val="00DB1EAB"/>
    <w:rsid w:val="00DB2A51"/>
    <w:rsid w:val="00DB2D27"/>
    <w:rsid w:val="00DB327C"/>
    <w:rsid w:val="00DB372D"/>
    <w:rsid w:val="00DB38C1"/>
    <w:rsid w:val="00DB3914"/>
    <w:rsid w:val="00DB5101"/>
    <w:rsid w:val="00DB596D"/>
    <w:rsid w:val="00DB65D2"/>
    <w:rsid w:val="00DB7000"/>
    <w:rsid w:val="00DB71E0"/>
    <w:rsid w:val="00DB7CDC"/>
    <w:rsid w:val="00DC0144"/>
    <w:rsid w:val="00DC0330"/>
    <w:rsid w:val="00DC1309"/>
    <w:rsid w:val="00DC13FC"/>
    <w:rsid w:val="00DC34D5"/>
    <w:rsid w:val="00DC366F"/>
    <w:rsid w:val="00DC372C"/>
    <w:rsid w:val="00DC398D"/>
    <w:rsid w:val="00DC453D"/>
    <w:rsid w:val="00DC4B2C"/>
    <w:rsid w:val="00DC508D"/>
    <w:rsid w:val="00DC5638"/>
    <w:rsid w:val="00DC5881"/>
    <w:rsid w:val="00DC5C7A"/>
    <w:rsid w:val="00DC6595"/>
    <w:rsid w:val="00DC6738"/>
    <w:rsid w:val="00DC6ABC"/>
    <w:rsid w:val="00DC6D59"/>
    <w:rsid w:val="00DC738D"/>
    <w:rsid w:val="00DC764C"/>
    <w:rsid w:val="00DC771B"/>
    <w:rsid w:val="00DD011F"/>
    <w:rsid w:val="00DD0641"/>
    <w:rsid w:val="00DD06A3"/>
    <w:rsid w:val="00DD0E77"/>
    <w:rsid w:val="00DD1164"/>
    <w:rsid w:val="00DD135A"/>
    <w:rsid w:val="00DD1894"/>
    <w:rsid w:val="00DD214E"/>
    <w:rsid w:val="00DD21EF"/>
    <w:rsid w:val="00DD25F7"/>
    <w:rsid w:val="00DD279D"/>
    <w:rsid w:val="00DD2A22"/>
    <w:rsid w:val="00DD2D4B"/>
    <w:rsid w:val="00DD3312"/>
    <w:rsid w:val="00DD3AEF"/>
    <w:rsid w:val="00DD3BB3"/>
    <w:rsid w:val="00DD3D49"/>
    <w:rsid w:val="00DD3EB6"/>
    <w:rsid w:val="00DD3F1D"/>
    <w:rsid w:val="00DD3FA1"/>
    <w:rsid w:val="00DD469C"/>
    <w:rsid w:val="00DD4AF5"/>
    <w:rsid w:val="00DD511F"/>
    <w:rsid w:val="00DD5727"/>
    <w:rsid w:val="00DD5CCD"/>
    <w:rsid w:val="00DD69AA"/>
    <w:rsid w:val="00DD754B"/>
    <w:rsid w:val="00DD79AD"/>
    <w:rsid w:val="00DD7BE7"/>
    <w:rsid w:val="00DD7E44"/>
    <w:rsid w:val="00DD7F6C"/>
    <w:rsid w:val="00DE00A2"/>
    <w:rsid w:val="00DE0567"/>
    <w:rsid w:val="00DE07D9"/>
    <w:rsid w:val="00DE127D"/>
    <w:rsid w:val="00DE194A"/>
    <w:rsid w:val="00DE20C2"/>
    <w:rsid w:val="00DE20F4"/>
    <w:rsid w:val="00DE2872"/>
    <w:rsid w:val="00DE2B76"/>
    <w:rsid w:val="00DE2F57"/>
    <w:rsid w:val="00DE33CD"/>
    <w:rsid w:val="00DE35F3"/>
    <w:rsid w:val="00DE47B1"/>
    <w:rsid w:val="00DE4D48"/>
    <w:rsid w:val="00DE4EF6"/>
    <w:rsid w:val="00DE5050"/>
    <w:rsid w:val="00DE5403"/>
    <w:rsid w:val="00DE5493"/>
    <w:rsid w:val="00DE5EE6"/>
    <w:rsid w:val="00DE60FF"/>
    <w:rsid w:val="00DE6782"/>
    <w:rsid w:val="00DE67E1"/>
    <w:rsid w:val="00DE6B90"/>
    <w:rsid w:val="00DE6DF7"/>
    <w:rsid w:val="00DE6E02"/>
    <w:rsid w:val="00DE7309"/>
    <w:rsid w:val="00DE7865"/>
    <w:rsid w:val="00DE7B8A"/>
    <w:rsid w:val="00DF0662"/>
    <w:rsid w:val="00DF0AEA"/>
    <w:rsid w:val="00DF0D33"/>
    <w:rsid w:val="00DF1287"/>
    <w:rsid w:val="00DF145B"/>
    <w:rsid w:val="00DF20AE"/>
    <w:rsid w:val="00DF295C"/>
    <w:rsid w:val="00DF2EED"/>
    <w:rsid w:val="00DF2F96"/>
    <w:rsid w:val="00DF2FB0"/>
    <w:rsid w:val="00DF3379"/>
    <w:rsid w:val="00DF34BE"/>
    <w:rsid w:val="00DF34FE"/>
    <w:rsid w:val="00DF3C97"/>
    <w:rsid w:val="00DF3CFE"/>
    <w:rsid w:val="00DF4515"/>
    <w:rsid w:val="00DF495E"/>
    <w:rsid w:val="00DF497D"/>
    <w:rsid w:val="00DF4CDF"/>
    <w:rsid w:val="00DF533B"/>
    <w:rsid w:val="00DF53E4"/>
    <w:rsid w:val="00DF5F7C"/>
    <w:rsid w:val="00DF6AAD"/>
    <w:rsid w:val="00DF76B7"/>
    <w:rsid w:val="00DF7F1E"/>
    <w:rsid w:val="00E0034B"/>
    <w:rsid w:val="00E006F2"/>
    <w:rsid w:val="00E0096C"/>
    <w:rsid w:val="00E01586"/>
    <w:rsid w:val="00E0160E"/>
    <w:rsid w:val="00E01A45"/>
    <w:rsid w:val="00E01C47"/>
    <w:rsid w:val="00E020E6"/>
    <w:rsid w:val="00E02461"/>
    <w:rsid w:val="00E0330C"/>
    <w:rsid w:val="00E03608"/>
    <w:rsid w:val="00E037DF"/>
    <w:rsid w:val="00E04453"/>
    <w:rsid w:val="00E04B40"/>
    <w:rsid w:val="00E04B44"/>
    <w:rsid w:val="00E05205"/>
    <w:rsid w:val="00E05264"/>
    <w:rsid w:val="00E05649"/>
    <w:rsid w:val="00E05AAD"/>
    <w:rsid w:val="00E05B97"/>
    <w:rsid w:val="00E05DC1"/>
    <w:rsid w:val="00E063C6"/>
    <w:rsid w:val="00E06900"/>
    <w:rsid w:val="00E0696C"/>
    <w:rsid w:val="00E06EC8"/>
    <w:rsid w:val="00E070C8"/>
    <w:rsid w:val="00E074C7"/>
    <w:rsid w:val="00E07758"/>
    <w:rsid w:val="00E104A9"/>
    <w:rsid w:val="00E10CB7"/>
    <w:rsid w:val="00E1137B"/>
    <w:rsid w:val="00E11ABA"/>
    <w:rsid w:val="00E11F0F"/>
    <w:rsid w:val="00E12827"/>
    <w:rsid w:val="00E12BA8"/>
    <w:rsid w:val="00E12C16"/>
    <w:rsid w:val="00E131D4"/>
    <w:rsid w:val="00E13460"/>
    <w:rsid w:val="00E13537"/>
    <w:rsid w:val="00E13C26"/>
    <w:rsid w:val="00E14EA8"/>
    <w:rsid w:val="00E1504B"/>
    <w:rsid w:val="00E15DE1"/>
    <w:rsid w:val="00E16396"/>
    <w:rsid w:val="00E164C2"/>
    <w:rsid w:val="00E168C5"/>
    <w:rsid w:val="00E16927"/>
    <w:rsid w:val="00E16C22"/>
    <w:rsid w:val="00E16E48"/>
    <w:rsid w:val="00E1753A"/>
    <w:rsid w:val="00E17AE5"/>
    <w:rsid w:val="00E17E0A"/>
    <w:rsid w:val="00E20173"/>
    <w:rsid w:val="00E20507"/>
    <w:rsid w:val="00E205B0"/>
    <w:rsid w:val="00E20E52"/>
    <w:rsid w:val="00E210CD"/>
    <w:rsid w:val="00E21336"/>
    <w:rsid w:val="00E21369"/>
    <w:rsid w:val="00E21A53"/>
    <w:rsid w:val="00E220A1"/>
    <w:rsid w:val="00E22157"/>
    <w:rsid w:val="00E224DF"/>
    <w:rsid w:val="00E225C9"/>
    <w:rsid w:val="00E225E6"/>
    <w:rsid w:val="00E22D5D"/>
    <w:rsid w:val="00E22F72"/>
    <w:rsid w:val="00E24296"/>
    <w:rsid w:val="00E242DD"/>
    <w:rsid w:val="00E2472C"/>
    <w:rsid w:val="00E251FB"/>
    <w:rsid w:val="00E2568D"/>
    <w:rsid w:val="00E2596D"/>
    <w:rsid w:val="00E25F9D"/>
    <w:rsid w:val="00E267EF"/>
    <w:rsid w:val="00E26860"/>
    <w:rsid w:val="00E27523"/>
    <w:rsid w:val="00E27A8D"/>
    <w:rsid w:val="00E27BC7"/>
    <w:rsid w:val="00E27E9A"/>
    <w:rsid w:val="00E30046"/>
    <w:rsid w:val="00E3011B"/>
    <w:rsid w:val="00E30820"/>
    <w:rsid w:val="00E309E7"/>
    <w:rsid w:val="00E30E75"/>
    <w:rsid w:val="00E3116C"/>
    <w:rsid w:val="00E3147F"/>
    <w:rsid w:val="00E317AC"/>
    <w:rsid w:val="00E31C82"/>
    <w:rsid w:val="00E31E3B"/>
    <w:rsid w:val="00E31F17"/>
    <w:rsid w:val="00E326E6"/>
    <w:rsid w:val="00E32BBC"/>
    <w:rsid w:val="00E330C5"/>
    <w:rsid w:val="00E33910"/>
    <w:rsid w:val="00E341F4"/>
    <w:rsid w:val="00E343BD"/>
    <w:rsid w:val="00E344CC"/>
    <w:rsid w:val="00E34565"/>
    <w:rsid w:val="00E345EB"/>
    <w:rsid w:val="00E34649"/>
    <w:rsid w:val="00E346C4"/>
    <w:rsid w:val="00E34961"/>
    <w:rsid w:val="00E34C98"/>
    <w:rsid w:val="00E3504D"/>
    <w:rsid w:val="00E35A6B"/>
    <w:rsid w:val="00E3617B"/>
    <w:rsid w:val="00E36321"/>
    <w:rsid w:val="00E36399"/>
    <w:rsid w:val="00E37065"/>
    <w:rsid w:val="00E37235"/>
    <w:rsid w:val="00E37A2A"/>
    <w:rsid w:val="00E37B6F"/>
    <w:rsid w:val="00E37FC2"/>
    <w:rsid w:val="00E400A1"/>
    <w:rsid w:val="00E40441"/>
    <w:rsid w:val="00E41683"/>
    <w:rsid w:val="00E41741"/>
    <w:rsid w:val="00E41F4B"/>
    <w:rsid w:val="00E41F7C"/>
    <w:rsid w:val="00E4209E"/>
    <w:rsid w:val="00E42E8B"/>
    <w:rsid w:val="00E4332D"/>
    <w:rsid w:val="00E43616"/>
    <w:rsid w:val="00E43628"/>
    <w:rsid w:val="00E43EE0"/>
    <w:rsid w:val="00E44FEF"/>
    <w:rsid w:val="00E45598"/>
    <w:rsid w:val="00E4601B"/>
    <w:rsid w:val="00E4677F"/>
    <w:rsid w:val="00E46B7F"/>
    <w:rsid w:val="00E46BB4"/>
    <w:rsid w:val="00E46C22"/>
    <w:rsid w:val="00E47193"/>
    <w:rsid w:val="00E47436"/>
    <w:rsid w:val="00E477F9"/>
    <w:rsid w:val="00E47AC1"/>
    <w:rsid w:val="00E47F66"/>
    <w:rsid w:val="00E50CD4"/>
    <w:rsid w:val="00E50CF4"/>
    <w:rsid w:val="00E51107"/>
    <w:rsid w:val="00E512AC"/>
    <w:rsid w:val="00E51ABF"/>
    <w:rsid w:val="00E52CE2"/>
    <w:rsid w:val="00E52EF6"/>
    <w:rsid w:val="00E52F84"/>
    <w:rsid w:val="00E534F1"/>
    <w:rsid w:val="00E5357E"/>
    <w:rsid w:val="00E53626"/>
    <w:rsid w:val="00E53981"/>
    <w:rsid w:val="00E53A16"/>
    <w:rsid w:val="00E53B74"/>
    <w:rsid w:val="00E542A9"/>
    <w:rsid w:val="00E54933"/>
    <w:rsid w:val="00E55125"/>
    <w:rsid w:val="00E551A5"/>
    <w:rsid w:val="00E55771"/>
    <w:rsid w:val="00E5595A"/>
    <w:rsid w:val="00E55A0C"/>
    <w:rsid w:val="00E55A5A"/>
    <w:rsid w:val="00E55FAE"/>
    <w:rsid w:val="00E5644C"/>
    <w:rsid w:val="00E5756E"/>
    <w:rsid w:val="00E57963"/>
    <w:rsid w:val="00E579C7"/>
    <w:rsid w:val="00E57B3F"/>
    <w:rsid w:val="00E60140"/>
    <w:rsid w:val="00E60469"/>
    <w:rsid w:val="00E6065D"/>
    <w:rsid w:val="00E60D60"/>
    <w:rsid w:val="00E60ED6"/>
    <w:rsid w:val="00E61446"/>
    <w:rsid w:val="00E614D6"/>
    <w:rsid w:val="00E618E8"/>
    <w:rsid w:val="00E61A95"/>
    <w:rsid w:val="00E621A4"/>
    <w:rsid w:val="00E62447"/>
    <w:rsid w:val="00E626FC"/>
    <w:rsid w:val="00E62DDE"/>
    <w:rsid w:val="00E633CC"/>
    <w:rsid w:val="00E63E95"/>
    <w:rsid w:val="00E64804"/>
    <w:rsid w:val="00E64A17"/>
    <w:rsid w:val="00E65AEB"/>
    <w:rsid w:val="00E66444"/>
    <w:rsid w:val="00E67AC4"/>
    <w:rsid w:val="00E67C90"/>
    <w:rsid w:val="00E67D2B"/>
    <w:rsid w:val="00E67E33"/>
    <w:rsid w:val="00E67FA2"/>
    <w:rsid w:val="00E70C86"/>
    <w:rsid w:val="00E71F7D"/>
    <w:rsid w:val="00E72403"/>
    <w:rsid w:val="00E7240E"/>
    <w:rsid w:val="00E727EE"/>
    <w:rsid w:val="00E72B66"/>
    <w:rsid w:val="00E72CAB"/>
    <w:rsid w:val="00E72DF4"/>
    <w:rsid w:val="00E7305E"/>
    <w:rsid w:val="00E73307"/>
    <w:rsid w:val="00E733CC"/>
    <w:rsid w:val="00E734F1"/>
    <w:rsid w:val="00E7386D"/>
    <w:rsid w:val="00E738FC"/>
    <w:rsid w:val="00E7390F"/>
    <w:rsid w:val="00E73984"/>
    <w:rsid w:val="00E74183"/>
    <w:rsid w:val="00E747A3"/>
    <w:rsid w:val="00E74B9F"/>
    <w:rsid w:val="00E74E9C"/>
    <w:rsid w:val="00E758F6"/>
    <w:rsid w:val="00E75B7C"/>
    <w:rsid w:val="00E75D2C"/>
    <w:rsid w:val="00E7629B"/>
    <w:rsid w:val="00E76337"/>
    <w:rsid w:val="00E767B7"/>
    <w:rsid w:val="00E76D5C"/>
    <w:rsid w:val="00E772AB"/>
    <w:rsid w:val="00E801FA"/>
    <w:rsid w:val="00E80EC4"/>
    <w:rsid w:val="00E80FB7"/>
    <w:rsid w:val="00E8112B"/>
    <w:rsid w:val="00E81D21"/>
    <w:rsid w:val="00E8255C"/>
    <w:rsid w:val="00E828B9"/>
    <w:rsid w:val="00E829EB"/>
    <w:rsid w:val="00E83359"/>
    <w:rsid w:val="00E8343A"/>
    <w:rsid w:val="00E83545"/>
    <w:rsid w:val="00E83C4F"/>
    <w:rsid w:val="00E83D60"/>
    <w:rsid w:val="00E83F3E"/>
    <w:rsid w:val="00E84A75"/>
    <w:rsid w:val="00E84EAC"/>
    <w:rsid w:val="00E84F0F"/>
    <w:rsid w:val="00E855A2"/>
    <w:rsid w:val="00E85723"/>
    <w:rsid w:val="00E857BD"/>
    <w:rsid w:val="00E859CB"/>
    <w:rsid w:val="00E85BFE"/>
    <w:rsid w:val="00E864F4"/>
    <w:rsid w:val="00E8693F"/>
    <w:rsid w:val="00E86AD1"/>
    <w:rsid w:val="00E87A90"/>
    <w:rsid w:val="00E90774"/>
    <w:rsid w:val="00E90D0F"/>
    <w:rsid w:val="00E91D39"/>
    <w:rsid w:val="00E91E33"/>
    <w:rsid w:val="00E91FD5"/>
    <w:rsid w:val="00E9212E"/>
    <w:rsid w:val="00E922E1"/>
    <w:rsid w:val="00E93117"/>
    <w:rsid w:val="00E94208"/>
    <w:rsid w:val="00E94A98"/>
    <w:rsid w:val="00E94BE5"/>
    <w:rsid w:val="00E951B5"/>
    <w:rsid w:val="00E95419"/>
    <w:rsid w:val="00E95BED"/>
    <w:rsid w:val="00E9604B"/>
    <w:rsid w:val="00E96164"/>
    <w:rsid w:val="00E9620D"/>
    <w:rsid w:val="00E96460"/>
    <w:rsid w:val="00E9719C"/>
    <w:rsid w:val="00E9787E"/>
    <w:rsid w:val="00EA08D1"/>
    <w:rsid w:val="00EA0E3E"/>
    <w:rsid w:val="00EA150C"/>
    <w:rsid w:val="00EA25F9"/>
    <w:rsid w:val="00EA2F48"/>
    <w:rsid w:val="00EA3210"/>
    <w:rsid w:val="00EA3377"/>
    <w:rsid w:val="00EA37DE"/>
    <w:rsid w:val="00EA437A"/>
    <w:rsid w:val="00EA45DA"/>
    <w:rsid w:val="00EA46CC"/>
    <w:rsid w:val="00EA481C"/>
    <w:rsid w:val="00EA54A4"/>
    <w:rsid w:val="00EA5825"/>
    <w:rsid w:val="00EA5BC4"/>
    <w:rsid w:val="00EA6D45"/>
    <w:rsid w:val="00EA78F0"/>
    <w:rsid w:val="00EA7BB1"/>
    <w:rsid w:val="00EA7FD7"/>
    <w:rsid w:val="00EB0658"/>
    <w:rsid w:val="00EB0738"/>
    <w:rsid w:val="00EB0A3F"/>
    <w:rsid w:val="00EB0B64"/>
    <w:rsid w:val="00EB10CD"/>
    <w:rsid w:val="00EB12CD"/>
    <w:rsid w:val="00EB1632"/>
    <w:rsid w:val="00EB1A95"/>
    <w:rsid w:val="00EB1CC2"/>
    <w:rsid w:val="00EB21BB"/>
    <w:rsid w:val="00EB36AD"/>
    <w:rsid w:val="00EB36E3"/>
    <w:rsid w:val="00EB4130"/>
    <w:rsid w:val="00EB51FC"/>
    <w:rsid w:val="00EB58F0"/>
    <w:rsid w:val="00EB58F2"/>
    <w:rsid w:val="00EB603C"/>
    <w:rsid w:val="00EB6221"/>
    <w:rsid w:val="00EB74F3"/>
    <w:rsid w:val="00EB75B1"/>
    <w:rsid w:val="00EC022E"/>
    <w:rsid w:val="00EC0982"/>
    <w:rsid w:val="00EC0D77"/>
    <w:rsid w:val="00EC0F00"/>
    <w:rsid w:val="00EC1138"/>
    <w:rsid w:val="00EC1387"/>
    <w:rsid w:val="00EC1738"/>
    <w:rsid w:val="00EC1900"/>
    <w:rsid w:val="00EC1D5A"/>
    <w:rsid w:val="00EC22B7"/>
    <w:rsid w:val="00EC231D"/>
    <w:rsid w:val="00EC2502"/>
    <w:rsid w:val="00EC25E6"/>
    <w:rsid w:val="00EC28AC"/>
    <w:rsid w:val="00EC2B11"/>
    <w:rsid w:val="00EC4071"/>
    <w:rsid w:val="00EC457D"/>
    <w:rsid w:val="00EC47DD"/>
    <w:rsid w:val="00EC4881"/>
    <w:rsid w:val="00EC50B2"/>
    <w:rsid w:val="00EC5472"/>
    <w:rsid w:val="00EC557A"/>
    <w:rsid w:val="00EC5BE6"/>
    <w:rsid w:val="00EC5E13"/>
    <w:rsid w:val="00EC5ED9"/>
    <w:rsid w:val="00EC5EE1"/>
    <w:rsid w:val="00EC60FF"/>
    <w:rsid w:val="00EC64DA"/>
    <w:rsid w:val="00EC655C"/>
    <w:rsid w:val="00EC6717"/>
    <w:rsid w:val="00EC6BEA"/>
    <w:rsid w:val="00EC7050"/>
    <w:rsid w:val="00EC74DF"/>
    <w:rsid w:val="00EC7605"/>
    <w:rsid w:val="00EC7999"/>
    <w:rsid w:val="00ED002C"/>
    <w:rsid w:val="00ED0515"/>
    <w:rsid w:val="00ED0FB5"/>
    <w:rsid w:val="00ED13FC"/>
    <w:rsid w:val="00ED1563"/>
    <w:rsid w:val="00ED175E"/>
    <w:rsid w:val="00ED1D94"/>
    <w:rsid w:val="00ED1DF9"/>
    <w:rsid w:val="00ED2FF7"/>
    <w:rsid w:val="00ED3265"/>
    <w:rsid w:val="00ED3410"/>
    <w:rsid w:val="00ED3524"/>
    <w:rsid w:val="00ED352A"/>
    <w:rsid w:val="00ED3611"/>
    <w:rsid w:val="00ED3922"/>
    <w:rsid w:val="00ED3F15"/>
    <w:rsid w:val="00ED417D"/>
    <w:rsid w:val="00ED4281"/>
    <w:rsid w:val="00ED4546"/>
    <w:rsid w:val="00ED4B3D"/>
    <w:rsid w:val="00ED573B"/>
    <w:rsid w:val="00ED5A60"/>
    <w:rsid w:val="00ED5F82"/>
    <w:rsid w:val="00ED6272"/>
    <w:rsid w:val="00ED7009"/>
    <w:rsid w:val="00ED76E1"/>
    <w:rsid w:val="00ED792F"/>
    <w:rsid w:val="00ED7BF5"/>
    <w:rsid w:val="00ED7F0B"/>
    <w:rsid w:val="00EE02CF"/>
    <w:rsid w:val="00EE039E"/>
    <w:rsid w:val="00EE0FF3"/>
    <w:rsid w:val="00EE1696"/>
    <w:rsid w:val="00EE1AD5"/>
    <w:rsid w:val="00EE25B9"/>
    <w:rsid w:val="00EE26FF"/>
    <w:rsid w:val="00EE38F2"/>
    <w:rsid w:val="00EE3BE2"/>
    <w:rsid w:val="00EE3D29"/>
    <w:rsid w:val="00EE3D7F"/>
    <w:rsid w:val="00EE421C"/>
    <w:rsid w:val="00EE484E"/>
    <w:rsid w:val="00EE4A83"/>
    <w:rsid w:val="00EE6197"/>
    <w:rsid w:val="00EE6C20"/>
    <w:rsid w:val="00EE6DA0"/>
    <w:rsid w:val="00EE7E76"/>
    <w:rsid w:val="00EF0762"/>
    <w:rsid w:val="00EF0AE2"/>
    <w:rsid w:val="00EF0C04"/>
    <w:rsid w:val="00EF0DE9"/>
    <w:rsid w:val="00EF0DF8"/>
    <w:rsid w:val="00EF1637"/>
    <w:rsid w:val="00EF1AB7"/>
    <w:rsid w:val="00EF20F1"/>
    <w:rsid w:val="00EF2445"/>
    <w:rsid w:val="00EF2678"/>
    <w:rsid w:val="00EF26D2"/>
    <w:rsid w:val="00EF2F52"/>
    <w:rsid w:val="00EF3202"/>
    <w:rsid w:val="00EF389E"/>
    <w:rsid w:val="00EF4052"/>
    <w:rsid w:val="00EF43E1"/>
    <w:rsid w:val="00EF4980"/>
    <w:rsid w:val="00EF4E12"/>
    <w:rsid w:val="00EF50E3"/>
    <w:rsid w:val="00EF57A2"/>
    <w:rsid w:val="00EF585D"/>
    <w:rsid w:val="00EF63BF"/>
    <w:rsid w:val="00F0019F"/>
    <w:rsid w:val="00F00583"/>
    <w:rsid w:val="00F00984"/>
    <w:rsid w:val="00F00E9A"/>
    <w:rsid w:val="00F012A3"/>
    <w:rsid w:val="00F01B99"/>
    <w:rsid w:val="00F023BC"/>
    <w:rsid w:val="00F02AF9"/>
    <w:rsid w:val="00F0319D"/>
    <w:rsid w:val="00F03225"/>
    <w:rsid w:val="00F03A3F"/>
    <w:rsid w:val="00F03B23"/>
    <w:rsid w:val="00F03B83"/>
    <w:rsid w:val="00F0407D"/>
    <w:rsid w:val="00F04128"/>
    <w:rsid w:val="00F04408"/>
    <w:rsid w:val="00F04578"/>
    <w:rsid w:val="00F047B2"/>
    <w:rsid w:val="00F0489A"/>
    <w:rsid w:val="00F04C88"/>
    <w:rsid w:val="00F04EF2"/>
    <w:rsid w:val="00F055CE"/>
    <w:rsid w:val="00F057CA"/>
    <w:rsid w:val="00F058C6"/>
    <w:rsid w:val="00F05B1E"/>
    <w:rsid w:val="00F05E90"/>
    <w:rsid w:val="00F05F9A"/>
    <w:rsid w:val="00F0621B"/>
    <w:rsid w:val="00F07080"/>
    <w:rsid w:val="00F0723B"/>
    <w:rsid w:val="00F07FBC"/>
    <w:rsid w:val="00F07FC4"/>
    <w:rsid w:val="00F100CF"/>
    <w:rsid w:val="00F109E6"/>
    <w:rsid w:val="00F10AD5"/>
    <w:rsid w:val="00F10AE4"/>
    <w:rsid w:val="00F10EE3"/>
    <w:rsid w:val="00F1198F"/>
    <w:rsid w:val="00F119AE"/>
    <w:rsid w:val="00F11E8F"/>
    <w:rsid w:val="00F127B0"/>
    <w:rsid w:val="00F131C1"/>
    <w:rsid w:val="00F1348F"/>
    <w:rsid w:val="00F1349C"/>
    <w:rsid w:val="00F142DD"/>
    <w:rsid w:val="00F14A62"/>
    <w:rsid w:val="00F14DE3"/>
    <w:rsid w:val="00F155D6"/>
    <w:rsid w:val="00F15CF4"/>
    <w:rsid w:val="00F17247"/>
    <w:rsid w:val="00F177A9"/>
    <w:rsid w:val="00F178C6"/>
    <w:rsid w:val="00F17D52"/>
    <w:rsid w:val="00F17E1A"/>
    <w:rsid w:val="00F17F14"/>
    <w:rsid w:val="00F207C3"/>
    <w:rsid w:val="00F20DDA"/>
    <w:rsid w:val="00F20F63"/>
    <w:rsid w:val="00F21135"/>
    <w:rsid w:val="00F21AC1"/>
    <w:rsid w:val="00F21F13"/>
    <w:rsid w:val="00F22111"/>
    <w:rsid w:val="00F22BA9"/>
    <w:rsid w:val="00F22CD1"/>
    <w:rsid w:val="00F22EE8"/>
    <w:rsid w:val="00F22F2E"/>
    <w:rsid w:val="00F247C0"/>
    <w:rsid w:val="00F24909"/>
    <w:rsid w:val="00F24A63"/>
    <w:rsid w:val="00F25DC2"/>
    <w:rsid w:val="00F2632A"/>
    <w:rsid w:val="00F26987"/>
    <w:rsid w:val="00F27202"/>
    <w:rsid w:val="00F2765E"/>
    <w:rsid w:val="00F30939"/>
    <w:rsid w:val="00F3152F"/>
    <w:rsid w:val="00F31AAA"/>
    <w:rsid w:val="00F31B7B"/>
    <w:rsid w:val="00F32E2F"/>
    <w:rsid w:val="00F334E1"/>
    <w:rsid w:val="00F33846"/>
    <w:rsid w:val="00F33981"/>
    <w:rsid w:val="00F33C3D"/>
    <w:rsid w:val="00F33DB9"/>
    <w:rsid w:val="00F3451D"/>
    <w:rsid w:val="00F347F5"/>
    <w:rsid w:val="00F3497C"/>
    <w:rsid w:val="00F34D10"/>
    <w:rsid w:val="00F35768"/>
    <w:rsid w:val="00F35A66"/>
    <w:rsid w:val="00F35B17"/>
    <w:rsid w:val="00F36114"/>
    <w:rsid w:val="00F3615C"/>
    <w:rsid w:val="00F36C37"/>
    <w:rsid w:val="00F36EC3"/>
    <w:rsid w:val="00F36FE0"/>
    <w:rsid w:val="00F37188"/>
    <w:rsid w:val="00F371B7"/>
    <w:rsid w:val="00F37C1E"/>
    <w:rsid w:val="00F37E31"/>
    <w:rsid w:val="00F37EB5"/>
    <w:rsid w:val="00F37FA8"/>
    <w:rsid w:val="00F40296"/>
    <w:rsid w:val="00F404C0"/>
    <w:rsid w:val="00F40A41"/>
    <w:rsid w:val="00F40AF2"/>
    <w:rsid w:val="00F40DDF"/>
    <w:rsid w:val="00F40E2C"/>
    <w:rsid w:val="00F4174F"/>
    <w:rsid w:val="00F41893"/>
    <w:rsid w:val="00F41A26"/>
    <w:rsid w:val="00F41A38"/>
    <w:rsid w:val="00F41CD9"/>
    <w:rsid w:val="00F42293"/>
    <w:rsid w:val="00F436BD"/>
    <w:rsid w:val="00F43ADB"/>
    <w:rsid w:val="00F43F68"/>
    <w:rsid w:val="00F43FE9"/>
    <w:rsid w:val="00F441AB"/>
    <w:rsid w:val="00F442A7"/>
    <w:rsid w:val="00F45053"/>
    <w:rsid w:val="00F45909"/>
    <w:rsid w:val="00F45A30"/>
    <w:rsid w:val="00F45C32"/>
    <w:rsid w:val="00F46445"/>
    <w:rsid w:val="00F46632"/>
    <w:rsid w:val="00F46C2D"/>
    <w:rsid w:val="00F46C93"/>
    <w:rsid w:val="00F46E72"/>
    <w:rsid w:val="00F46E9E"/>
    <w:rsid w:val="00F47946"/>
    <w:rsid w:val="00F47A46"/>
    <w:rsid w:val="00F50ABD"/>
    <w:rsid w:val="00F50BAE"/>
    <w:rsid w:val="00F50D34"/>
    <w:rsid w:val="00F51DF6"/>
    <w:rsid w:val="00F5207F"/>
    <w:rsid w:val="00F52977"/>
    <w:rsid w:val="00F534A8"/>
    <w:rsid w:val="00F546A8"/>
    <w:rsid w:val="00F54CBE"/>
    <w:rsid w:val="00F54CD6"/>
    <w:rsid w:val="00F555C2"/>
    <w:rsid w:val="00F555F8"/>
    <w:rsid w:val="00F559EF"/>
    <w:rsid w:val="00F55AB1"/>
    <w:rsid w:val="00F56332"/>
    <w:rsid w:val="00F565A4"/>
    <w:rsid w:val="00F569C5"/>
    <w:rsid w:val="00F571D4"/>
    <w:rsid w:val="00F579A7"/>
    <w:rsid w:val="00F57BDF"/>
    <w:rsid w:val="00F603A4"/>
    <w:rsid w:val="00F60475"/>
    <w:rsid w:val="00F61019"/>
    <w:rsid w:val="00F616BF"/>
    <w:rsid w:val="00F618AA"/>
    <w:rsid w:val="00F62380"/>
    <w:rsid w:val="00F62402"/>
    <w:rsid w:val="00F62E7C"/>
    <w:rsid w:val="00F630EA"/>
    <w:rsid w:val="00F64DB6"/>
    <w:rsid w:val="00F65684"/>
    <w:rsid w:val="00F66743"/>
    <w:rsid w:val="00F66B72"/>
    <w:rsid w:val="00F67B40"/>
    <w:rsid w:val="00F67C9D"/>
    <w:rsid w:val="00F701CF"/>
    <w:rsid w:val="00F71B2C"/>
    <w:rsid w:val="00F71C36"/>
    <w:rsid w:val="00F7238B"/>
    <w:rsid w:val="00F7257D"/>
    <w:rsid w:val="00F725A9"/>
    <w:rsid w:val="00F727E0"/>
    <w:rsid w:val="00F72EDD"/>
    <w:rsid w:val="00F73561"/>
    <w:rsid w:val="00F7369B"/>
    <w:rsid w:val="00F73A2D"/>
    <w:rsid w:val="00F743A0"/>
    <w:rsid w:val="00F7441B"/>
    <w:rsid w:val="00F74E16"/>
    <w:rsid w:val="00F751B9"/>
    <w:rsid w:val="00F7580F"/>
    <w:rsid w:val="00F761A3"/>
    <w:rsid w:val="00F770E9"/>
    <w:rsid w:val="00F77869"/>
    <w:rsid w:val="00F77892"/>
    <w:rsid w:val="00F804F4"/>
    <w:rsid w:val="00F80E00"/>
    <w:rsid w:val="00F81568"/>
    <w:rsid w:val="00F81610"/>
    <w:rsid w:val="00F81B54"/>
    <w:rsid w:val="00F823A8"/>
    <w:rsid w:val="00F823AE"/>
    <w:rsid w:val="00F82885"/>
    <w:rsid w:val="00F82C61"/>
    <w:rsid w:val="00F83FFB"/>
    <w:rsid w:val="00F84367"/>
    <w:rsid w:val="00F8474A"/>
    <w:rsid w:val="00F84A59"/>
    <w:rsid w:val="00F84C8E"/>
    <w:rsid w:val="00F85276"/>
    <w:rsid w:val="00F85751"/>
    <w:rsid w:val="00F85E65"/>
    <w:rsid w:val="00F86436"/>
    <w:rsid w:val="00F8653B"/>
    <w:rsid w:val="00F87460"/>
    <w:rsid w:val="00F902BD"/>
    <w:rsid w:val="00F904C6"/>
    <w:rsid w:val="00F90BA7"/>
    <w:rsid w:val="00F90FAF"/>
    <w:rsid w:val="00F91743"/>
    <w:rsid w:val="00F91ABE"/>
    <w:rsid w:val="00F91C94"/>
    <w:rsid w:val="00F92DDB"/>
    <w:rsid w:val="00F93451"/>
    <w:rsid w:val="00F93A97"/>
    <w:rsid w:val="00F946BB"/>
    <w:rsid w:val="00F94B1E"/>
    <w:rsid w:val="00F951F8"/>
    <w:rsid w:val="00F95778"/>
    <w:rsid w:val="00F9578D"/>
    <w:rsid w:val="00F95B17"/>
    <w:rsid w:val="00F95EE5"/>
    <w:rsid w:val="00F95FF0"/>
    <w:rsid w:val="00F96ED6"/>
    <w:rsid w:val="00F97364"/>
    <w:rsid w:val="00F97F1B"/>
    <w:rsid w:val="00FA047B"/>
    <w:rsid w:val="00FA0549"/>
    <w:rsid w:val="00FA0597"/>
    <w:rsid w:val="00FA0B4C"/>
    <w:rsid w:val="00FA1912"/>
    <w:rsid w:val="00FA1F31"/>
    <w:rsid w:val="00FA20B6"/>
    <w:rsid w:val="00FA26F7"/>
    <w:rsid w:val="00FA3518"/>
    <w:rsid w:val="00FA3ECC"/>
    <w:rsid w:val="00FA43A7"/>
    <w:rsid w:val="00FA44C2"/>
    <w:rsid w:val="00FA46AF"/>
    <w:rsid w:val="00FA48B8"/>
    <w:rsid w:val="00FA4D3B"/>
    <w:rsid w:val="00FA5945"/>
    <w:rsid w:val="00FA5B80"/>
    <w:rsid w:val="00FA6542"/>
    <w:rsid w:val="00FA6966"/>
    <w:rsid w:val="00FA6FC1"/>
    <w:rsid w:val="00FA755A"/>
    <w:rsid w:val="00FA79D3"/>
    <w:rsid w:val="00FA7F36"/>
    <w:rsid w:val="00FB0368"/>
    <w:rsid w:val="00FB03CD"/>
    <w:rsid w:val="00FB0D90"/>
    <w:rsid w:val="00FB0D91"/>
    <w:rsid w:val="00FB1478"/>
    <w:rsid w:val="00FB26B6"/>
    <w:rsid w:val="00FB2B6C"/>
    <w:rsid w:val="00FB30A5"/>
    <w:rsid w:val="00FB34A7"/>
    <w:rsid w:val="00FB34D1"/>
    <w:rsid w:val="00FB36BC"/>
    <w:rsid w:val="00FB425D"/>
    <w:rsid w:val="00FB46ED"/>
    <w:rsid w:val="00FB51B5"/>
    <w:rsid w:val="00FB59BF"/>
    <w:rsid w:val="00FB5FCC"/>
    <w:rsid w:val="00FB6067"/>
    <w:rsid w:val="00FB6530"/>
    <w:rsid w:val="00FB6D0C"/>
    <w:rsid w:val="00FB75E6"/>
    <w:rsid w:val="00FB7F26"/>
    <w:rsid w:val="00FB7F78"/>
    <w:rsid w:val="00FC0C14"/>
    <w:rsid w:val="00FC1290"/>
    <w:rsid w:val="00FC1545"/>
    <w:rsid w:val="00FC15D3"/>
    <w:rsid w:val="00FC1B75"/>
    <w:rsid w:val="00FC20F2"/>
    <w:rsid w:val="00FC2542"/>
    <w:rsid w:val="00FC27AF"/>
    <w:rsid w:val="00FC31EC"/>
    <w:rsid w:val="00FC3AF7"/>
    <w:rsid w:val="00FC45B2"/>
    <w:rsid w:val="00FC48BE"/>
    <w:rsid w:val="00FC5797"/>
    <w:rsid w:val="00FC5A8D"/>
    <w:rsid w:val="00FC6087"/>
    <w:rsid w:val="00FC6668"/>
    <w:rsid w:val="00FC7724"/>
    <w:rsid w:val="00FD0B03"/>
    <w:rsid w:val="00FD0F5C"/>
    <w:rsid w:val="00FD1831"/>
    <w:rsid w:val="00FD1884"/>
    <w:rsid w:val="00FD229E"/>
    <w:rsid w:val="00FD282F"/>
    <w:rsid w:val="00FD2D34"/>
    <w:rsid w:val="00FD2E48"/>
    <w:rsid w:val="00FD3565"/>
    <w:rsid w:val="00FD4062"/>
    <w:rsid w:val="00FD5513"/>
    <w:rsid w:val="00FD5BD9"/>
    <w:rsid w:val="00FD5C4F"/>
    <w:rsid w:val="00FD5CE8"/>
    <w:rsid w:val="00FD5E4A"/>
    <w:rsid w:val="00FD6161"/>
    <w:rsid w:val="00FD6B85"/>
    <w:rsid w:val="00FD6D8D"/>
    <w:rsid w:val="00FD787F"/>
    <w:rsid w:val="00FD7E2E"/>
    <w:rsid w:val="00FD7E34"/>
    <w:rsid w:val="00FD7FD0"/>
    <w:rsid w:val="00FE01DD"/>
    <w:rsid w:val="00FE07CD"/>
    <w:rsid w:val="00FE14DD"/>
    <w:rsid w:val="00FE1557"/>
    <w:rsid w:val="00FE1759"/>
    <w:rsid w:val="00FE18AE"/>
    <w:rsid w:val="00FE1B5F"/>
    <w:rsid w:val="00FE2237"/>
    <w:rsid w:val="00FE2B27"/>
    <w:rsid w:val="00FE2C04"/>
    <w:rsid w:val="00FE2CA4"/>
    <w:rsid w:val="00FE35F2"/>
    <w:rsid w:val="00FE48F6"/>
    <w:rsid w:val="00FE5213"/>
    <w:rsid w:val="00FE659D"/>
    <w:rsid w:val="00FE6649"/>
    <w:rsid w:val="00FE6A51"/>
    <w:rsid w:val="00FE6C51"/>
    <w:rsid w:val="00FE6CCE"/>
    <w:rsid w:val="00FE6D0E"/>
    <w:rsid w:val="00FE6F5E"/>
    <w:rsid w:val="00FE70AC"/>
    <w:rsid w:val="00FE778B"/>
    <w:rsid w:val="00FE7CFC"/>
    <w:rsid w:val="00FE7D3A"/>
    <w:rsid w:val="00FF10FC"/>
    <w:rsid w:val="00FF13F7"/>
    <w:rsid w:val="00FF145D"/>
    <w:rsid w:val="00FF1E07"/>
    <w:rsid w:val="00FF3B55"/>
    <w:rsid w:val="00FF446B"/>
    <w:rsid w:val="00FF44D8"/>
    <w:rsid w:val="00FF44F9"/>
    <w:rsid w:val="00FF48B6"/>
    <w:rsid w:val="00FF4B8F"/>
    <w:rsid w:val="00FF53DA"/>
    <w:rsid w:val="00FF5E41"/>
    <w:rsid w:val="00FF6595"/>
    <w:rsid w:val="00FF6923"/>
    <w:rsid w:val="00FF6F13"/>
    <w:rsid w:val="00FF6F86"/>
    <w:rsid w:val="00FF76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CE8237"/>
  <w15:docId w15:val="{7128F837-F0FA-CB47-B702-15867D75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0"/>
    <w:lsdException w:name="List Paragraph" w:uiPriority="34"/>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6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7BC"/>
    <w:pPr>
      <w:spacing w:before="120" w:after="120"/>
      <w:jc w:val="both"/>
    </w:pPr>
    <w:rPr>
      <w:rFonts w:ascii="Calibri" w:hAnsi="Calibri"/>
      <w:sz w:val="24"/>
      <w:szCs w:val="24"/>
      <w:lang w:eastAsia="en-US"/>
    </w:rPr>
  </w:style>
  <w:style w:type="paragraph" w:styleId="Heading1">
    <w:name w:val="heading 1"/>
    <w:aliases w:val="Heading 1 New,Char1,Section,Chapter Hdg,Economics Section,New Section,Economics Section Heading,My Heading 1,Lev 1,Section Heading,(Alt 1),Numbered - 1,Outline1,1 ghost,g,Oscar Faber 1,Heading 1 TXC,CES Heading 1,Section 1,Chapter Heading,hea"/>
    <w:basedOn w:val="Normal"/>
    <w:next w:val="Normal"/>
    <w:link w:val="Heading1Char"/>
    <w:qFormat/>
    <w:rsid w:val="0014458C"/>
    <w:pPr>
      <w:keepNext/>
      <w:numPr>
        <w:numId w:val="25"/>
      </w:numPr>
      <w:outlineLvl w:val="0"/>
    </w:pPr>
    <w:rPr>
      <w:bCs/>
      <w:color w:val="009999"/>
      <w:kern w:val="32"/>
      <w:sz w:val="40"/>
      <w:szCs w:val="28"/>
    </w:rPr>
  </w:style>
  <w:style w:type="paragraph" w:styleId="Heading2">
    <w:name w:val="heading 2"/>
    <w:basedOn w:val="Normal"/>
    <w:next w:val="Normal"/>
    <w:link w:val="Heading2Char"/>
    <w:qFormat/>
    <w:rsid w:val="007677BC"/>
    <w:pPr>
      <w:keepNext/>
      <w:tabs>
        <w:tab w:val="num" w:pos="709"/>
      </w:tabs>
      <w:ind w:left="1418" w:hanging="709"/>
      <w:outlineLvl w:val="1"/>
    </w:pPr>
    <w:rPr>
      <w:bCs/>
      <w:iCs/>
      <w:color w:val="009999"/>
      <w:sz w:val="32"/>
      <w:szCs w:val="28"/>
    </w:rPr>
  </w:style>
  <w:style w:type="paragraph" w:styleId="Heading3">
    <w:name w:val="heading 3"/>
    <w:basedOn w:val="Normal"/>
    <w:next w:val="Normal"/>
    <w:link w:val="Heading3Char1"/>
    <w:qFormat/>
    <w:rsid w:val="007677BC"/>
    <w:pPr>
      <w:keepNext/>
      <w:ind w:left="709"/>
      <w:outlineLvl w:val="2"/>
    </w:pPr>
    <w:rPr>
      <w:color w:val="009999"/>
      <w:sz w:val="28"/>
      <w:szCs w:val="28"/>
    </w:rPr>
  </w:style>
  <w:style w:type="paragraph" w:styleId="Heading4">
    <w:name w:val="heading 4"/>
    <w:basedOn w:val="Normal"/>
    <w:next w:val="Normal"/>
    <w:link w:val="Heading4Char"/>
    <w:qFormat/>
    <w:rsid w:val="007677BC"/>
    <w:pPr>
      <w:keepNext/>
      <w:ind w:left="720"/>
      <w:outlineLvl w:val="3"/>
    </w:pPr>
    <w:rPr>
      <w:bCs/>
      <w:i/>
      <w:color w:val="009999"/>
    </w:rPr>
  </w:style>
  <w:style w:type="paragraph" w:styleId="Heading5">
    <w:name w:val="heading 5"/>
    <w:aliases w:val="Do Not Use 5,Economics Bullets,paragraph,Bold &amp; Italic,Paragraph Text,Lower Case,Lower Case Char,Heading 5 Char1,Lower Case Char1,Bold &amp; Italic Char1,paragraph Char Char Char,Heading 5 Char Char Char Char"/>
    <w:basedOn w:val="Normal"/>
    <w:next w:val="Normal"/>
    <w:link w:val="Heading5Char"/>
    <w:rsid w:val="00FD0F5C"/>
    <w:pPr>
      <w:numPr>
        <w:ilvl w:val="4"/>
        <w:numId w:val="10"/>
      </w:numPr>
      <w:spacing w:before="240" w:after="60"/>
      <w:outlineLvl w:val="4"/>
    </w:pPr>
    <w:rPr>
      <w:b/>
      <w:bCs/>
      <w:i/>
      <w:iCs/>
      <w:sz w:val="26"/>
      <w:szCs w:val="26"/>
    </w:rPr>
  </w:style>
  <w:style w:type="paragraph" w:styleId="Heading6">
    <w:name w:val="heading 6"/>
    <w:aliases w:val="Do Not Use 6,Economics Bullets 2,level 1 bullet,Legal Level 1.,level 1 bullet 1,level 1 bullet Char Char Char,level 1 bullet 1 Char Char Char,level 1 bullet 1 Char Char Char Char Char Char Char,Heading 61"/>
    <w:basedOn w:val="Normal"/>
    <w:next w:val="Normal"/>
    <w:link w:val="Heading6Char"/>
    <w:rsid w:val="00FD0F5C"/>
    <w:pPr>
      <w:numPr>
        <w:ilvl w:val="5"/>
        <w:numId w:val="10"/>
      </w:numPr>
      <w:spacing w:before="240" w:after="60"/>
      <w:outlineLvl w:val="5"/>
    </w:pPr>
    <w:rPr>
      <w:rFonts w:ascii="Times New Roman" w:hAnsi="Times New Roman"/>
      <w:b/>
      <w:bCs/>
      <w:szCs w:val="22"/>
    </w:rPr>
  </w:style>
  <w:style w:type="paragraph" w:styleId="Heading7">
    <w:name w:val="heading 7"/>
    <w:aliases w:val="Do Not Use 7,Economics List (i),level 2 bullets,Legal Level 1.1."/>
    <w:basedOn w:val="Normal"/>
    <w:next w:val="Normal"/>
    <w:link w:val="Heading7Char"/>
    <w:rsid w:val="00FD0F5C"/>
    <w:pPr>
      <w:numPr>
        <w:ilvl w:val="6"/>
        <w:numId w:val="10"/>
      </w:numPr>
      <w:spacing w:before="240" w:after="60"/>
      <w:outlineLvl w:val="6"/>
    </w:pPr>
    <w:rPr>
      <w:rFonts w:ascii="Times New Roman" w:hAnsi="Times New Roman"/>
    </w:rPr>
  </w:style>
  <w:style w:type="paragraph" w:styleId="Heading8">
    <w:name w:val="heading 8"/>
    <w:aliases w:val="Do Not Use 8,Economics List (a),level 3 bullets,Legal Level 1.1.1.,Bullet 3"/>
    <w:basedOn w:val="Normal"/>
    <w:next w:val="Normal"/>
    <w:link w:val="Heading8Char"/>
    <w:rsid w:val="00FD0F5C"/>
    <w:pPr>
      <w:numPr>
        <w:ilvl w:val="7"/>
        <w:numId w:val="10"/>
      </w:numPr>
      <w:spacing w:before="240" w:after="60"/>
      <w:outlineLvl w:val="7"/>
    </w:pPr>
    <w:rPr>
      <w:rFonts w:ascii="Times New Roman" w:hAnsi="Times New Roman"/>
      <w:i/>
      <w:iCs/>
    </w:rPr>
  </w:style>
  <w:style w:type="paragraph" w:styleId="Heading9">
    <w:name w:val="heading 9"/>
    <w:aliases w:val="Do Not Use 9,Legal Level 1.1.1.1."/>
    <w:basedOn w:val="Normal"/>
    <w:next w:val="Normal"/>
    <w:link w:val="Heading9Char"/>
    <w:rsid w:val="00FD0F5C"/>
    <w:pPr>
      <w:numPr>
        <w:ilvl w:val="8"/>
        <w:numId w:val="10"/>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sonConentsPage">
    <w:name w:val="Page Numbers on Conents Page"/>
    <w:basedOn w:val="Normal"/>
    <w:rsid w:val="00FD0F5C"/>
    <w:pPr>
      <w:jc w:val="right"/>
    </w:pPr>
    <w:rPr>
      <w:b/>
      <w:bCs/>
      <w:szCs w:val="20"/>
    </w:rPr>
  </w:style>
  <w:style w:type="paragraph" w:customStyle="1" w:styleId="Figure">
    <w:name w:val="Figure"/>
    <w:basedOn w:val="BodyCopy"/>
    <w:rsid w:val="00FD0F5C"/>
    <w:pPr>
      <w:spacing w:before="60" w:after="60"/>
    </w:pPr>
    <w:rPr>
      <w:rFonts w:ascii="GillSans" w:hAnsi="GillSans"/>
      <w:sz w:val="16"/>
    </w:rPr>
  </w:style>
  <w:style w:type="paragraph" w:styleId="TOC1">
    <w:name w:val="toc 1"/>
    <w:basedOn w:val="Normal"/>
    <w:next w:val="Normal"/>
    <w:autoRedefine/>
    <w:uiPriority w:val="39"/>
    <w:rsid w:val="00657E23"/>
    <w:pPr>
      <w:tabs>
        <w:tab w:val="left" w:pos="720"/>
        <w:tab w:val="left" w:pos="1200"/>
        <w:tab w:val="left" w:pos="1440"/>
        <w:tab w:val="right" w:leader="dot" w:pos="9356"/>
      </w:tabs>
      <w:ind w:left="1440" w:hanging="1440"/>
    </w:pPr>
    <w:rPr>
      <w:rFonts w:cs="Arial"/>
      <w:bCs/>
      <w:noProof/>
    </w:rPr>
  </w:style>
  <w:style w:type="paragraph" w:customStyle="1" w:styleId="ReportName">
    <w:name w:val="Report Name"/>
    <w:basedOn w:val="Normal"/>
    <w:rsid w:val="00FD0F5C"/>
    <w:rPr>
      <w:rFonts w:ascii="GillSans" w:hAnsi="GillSans"/>
      <w:color w:val="FFFFFF"/>
      <w:sz w:val="38"/>
      <w:szCs w:val="38"/>
    </w:rPr>
  </w:style>
  <w:style w:type="paragraph" w:customStyle="1" w:styleId="CoverPageDate">
    <w:name w:val="Cover Page Date"/>
    <w:basedOn w:val="Normal"/>
    <w:rsid w:val="00FD0F5C"/>
    <w:rPr>
      <w:rFonts w:ascii="GillSans Light" w:hAnsi="GillSans Light"/>
      <w:color w:val="FFFFFF"/>
      <w:sz w:val="38"/>
      <w:szCs w:val="38"/>
    </w:rPr>
  </w:style>
  <w:style w:type="paragraph" w:customStyle="1" w:styleId="Footer-Abra">
    <w:name w:val="Footer - Abra"/>
    <w:basedOn w:val="Normal"/>
    <w:rsid w:val="00FD0F5C"/>
    <w:pPr>
      <w:tabs>
        <w:tab w:val="center" w:pos="4320"/>
        <w:tab w:val="right" w:pos="8640"/>
      </w:tabs>
    </w:pPr>
    <w:rPr>
      <w:rFonts w:ascii="Verdana" w:hAnsi="Verdana"/>
      <w:color w:val="008080"/>
      <w:szCs w:val="16"/>
    </w:rPr>
  </w:style>
  <w:style w:type="character" w:styleId="PageNumber">
    <w:name w:val="page number"/>
    <w:rsid w:val="00FD0F5C"/>
    <w:rPr>
      <w:rFonts w:ascii="GillSans" w:hAnsi="GillSans"/>
      <w:color w:val="FFFFFF"/>
      <w:sz w:val="16"/>
    </w:rPr>
  </w:style>
  <w:style w:type="paragraph" w:customStyle="1" w:styleId="ContentsNumbers">
    <w:name w:val="Contents Numbers"/>
    <w:basedOn w:val="Normal"/>
    <w:rsid w:val="00FD0F5C"/>
    <w:pPr>
      <w:jc w:val="center"/>
    </w:pPr>
    <w:rPr>
      <w:color w:val="FFFFFF"/>
      <w:sz w:val="20"/>
    </w:rPr>
  </w:style>
  <w:style w:type="paragraph" w:customStyle="1" w:styleId="TitleHeading">
    <w:name w:val="Title Heading"/>
    <w:basedOn w:val="Heading1"/>
    <w:rsid w:val="00FD0F5C"/>
    <w:pPr>
      <w:spacing w:before="0"/>
    </w:pPr>
    <w:rPr>
      <w:bCs w:val="0"/>
      <w:sz w:val="44"/>
      <w:szCs w:val="20"/>
    </w:rPr>
  </w:style>
  <w:style w:type="paragraph" w:customStyle="1" w:styleId="BodyCopy">
    <w:name w:val="Body Copy"/>
    <w:basedOn w:val="Normal"/>
    <w:rsid w:val="00FD0F5C"/>
    <w:pPr>
      <w:numPr>
        <w:ilvl w:val="1"/>
        <w:numId w:val="1"/>
      </w:numPr>
    </w:pPr>
    <w:rPr>
      <w:rFonts w:ascii="GillSans Light" w:hAnsi="GillSans Light"/>
      <w:sz w:val="20"/>
      <w:szCs w:val="20"/>
    </w:rPr>
  </w:style>
  <w:style w:type="paragraph" w:customStyle="1" w:styleId="Maintext">
    <w:name w:val="Main text"/>
    <w:basedOn w:val="Normal"/>
    <w:link w:val="MaintextChar1"/>
    <w:rsid w:val="00FD0F5C"/>
    <w:pPr>
      <w:numPr>
        <w:ilvl w:val="1"/>
        <w:numId w:val="10"/>
      </w:numPr>
    </w:pPr>
  </w:style>
  <w:style w:type="paragraph" w:styleId="ListBullet">
    <w:name w:val="List Bullet"/>
    <w:basedOn w:val="Normal"/>
    <w:autoRedefine/>
    <w:semiHidden/>
    <w:rsid w:val="00FD0F5C"/>
    <w:pPr>
      <w:numPr>
        <w:numId w:val="3"/>
      </w:numPr>
    </w:pPr>
    <w:rPr>
      <w:sz w:val="20"/>
    </w:rPr>
  </w:style>
  <w:style w:type="paragraph" w:styleId="TOC2">
    <w:name w:val="toc 2"/>
    <w:basedOn w:val="Normal"/>
    <w:next w:val="Normal"/>
    <w:autoRedefine/>
    <w:uiPriority w:val="39"/>
    <w:rsid w:val="002D044F"/>
    <w:pPr>
      <w:tabs>
        <w:tab w:val="right" w:pos="720"/>
        <w:tab w:val="right" w:leader="dot" w:pos="9356"/>
      </w:tabs>
      <w:spacing w:before="60" w:after="60"/>
      <w:ind w:left="720"/>
    </w:pPr>
    <w:rPr>
      <w:bCs/>
      <w:noProof/>
      <w:szCs w:val="20"/>
    </w:rPr>
  </w:style>
  <w:style w:type="paragraph" w:styleId="TOC3">
    <w:name w:val="toc 3"/>
    <w:basedOn w:val="Normal"/>
    <w:next w:val="Normal"/>
    <w:autoRedefine/>
    <w:uiPriority w:val="39"/>
    <w:rsid w:val="00750DEF"/>
    <w:pPr>
      <w:tabs>
        <w:tab w:val="right" w:leader="dot" w:pos="9322"/>
      </w:tabs>
      <w:ind w:left="240"/>
    </w:pPr>
    <w:rPr>
      <w:rFonts w:ascii="Times New Roman" w:hAnsi="Times New Roman"/>
      <w:sz w:val="20"/>
      <w:szCs w:val="20"/>
    </w:rPr>
  </w:style>
  <w:style w:type="paragraph" w:styleId="TOC4">
    <w:name w:val="toc 4"/>
    <w:basedOn w:val="Normal"/>
    <w:next w:val="Normal"/>
    <w:autoRedefine/>
    <w:uiPriority w:val="39"/>
    <w:rsid w:val="00FD0F5C"/>
    <w:pPr>
      <w:ind w:left="480"/>
    </w:pPr>
    <w:rPr>
      <w:rFonts w:ascii="Times New Roman" w:hAnsi="Times New Roman"/>
      <w:sz w:val="20"/>
      <w:szCs w:val="20"/>
    </w:rPr>
  </w:style>
  <w:style w:type="paragraph" w:styleId="TOC5">
    <w:name w:val="toc 5"/>
    <w:basedOn w:val="Normal"/>
    <w:next w:val="Normal"/>
    <w:autoRedefine/>
    <w:uiPriority w:val="39"/>
    <w:rsid w:val="00FD0F5C"/>
    <w:pPr>
      <w:ind w:left="720"/>
    </w:pPr>
    <w:rPr>
      <w:rFonts w:ascii="Times New Roman" w:hAnsi="Times New Roman"/>
      <w:sz w:val="20"/>
      <w:szCs w:val="20"/>
    </w:rPr>
  </w:style>
  <w:style w:type="paragraph" w:styleId="TOC6">
    <w:name w:val="toc 6"/>
    <w:basedOn w:val="Normal"/>
    <w:next w:val="Normal"/>
    <w:autoRedefine/>
    <w:uiPriority w:val="39"/>
    <w:rsid w:val="00FD0F5C"/>
    <w:pPr>
      <w:ind w:left="960"/>
    </w:pPr>
    <w:rPr>
      <w:rFonts w:ascii="Times New Roman" w:hAnsi="Times New Roman"/>
      <w:sz w:val="20"/>
      <w:szCs w:val="20"/>
    </w:rPr>
  </w:style>
  <w:style w:type="paragraph" w:styleId="TOC7">
    <w:name w:val="toc 7"/>
    <w:basedOn w:val="Normal"/>
    <w:next w:val="Normal"/>
    <w:autoRedefine/>
    <w:uiPriority w:val="39"/>
    <w:rsid w:val="00FD0F5C"/>
    <w:pPr>
      <w:ind w:left="1200"/>
    </w:pPr>
    <w:rPr>
      <w:rFonts w:ascii="Times New Roman" w:hAnsi="Times New Roman"/>
      <w:sz w:val="20"/>
      <w:szCs w:val="20"/>
    </w:rPr>
  </w:style>
  <w:style w:type="paragraph" w:styleId="TOC8">
    <w:name w:val="toc 8"/>
    <w:basedOn w:val="Normal"/>
    <w:next w:val="Normal"/>
    <w:autoRedefine/>
    <w:uiPriority w:val="39"/>
    <w:rsid w:val="00FD0F5C"/>
    <w:pPr>
      <w:ind w:left="1440"/>
    </w:pPr>
    <w:rPr>
      <w:rFonts w:ascii="Times New Roman" w:hAnsi="Times New Roman"/>
      <w:sz w:val="20"/>
      <w:szCs w:val="20"/>
    </w:rPr>
  </w:style>
  <w:style w:type="paragraph" w:styleId="TOC9">
    <w:name w:val="toc 9"/>
    <w:basedOn w:val="Normal"/>
    <w:next w:val="Normal"/>
    <w:autoRedefine/>
    <w:uiPriority w:val="39"/>
    <w:rsid w:val="00FD0F5C"/>
    <w:pPr>
      <w:ind w:left="1680"/>
    </w:pPr>
    <w:rPr>
      <w:rFonts w:ascii="Times New Roman" w:hAnsi="Times New Roman"/>
      <w:sz w:val="20"/>
      <w:szCs w:val="20"/>
    </w:rPr>
  </w:style>
  <w:style w:type="character" w:styleId="Hyperlink">
    <w:name w:val="Hyperlink"/>
    <w:uiPriority w:val="99"/>
    <w:rsid w:val="00FD0F5C"/>
    <w:rPr>
      <w:color w:val="0000FF"/>
      <w:u w:val="single"/>
    </w:rPr>
  </w:style>
  <w:style w:type="paragraph" w:styleId="Header">
    <w:name w:val="header"/>
    <w:basedOn w:val="Normal"/>
    <w:link w:val="HeaderChar"/>
    <w:uiPriority w:val="99"/>
    <w:rsid w:val="00FD0F5C"/>
    <w:pPr>
      <w:tabs>
        <w:tab w:val="center" w:pos="4153"/>
        <w:tab w:val="right" w:pos="8306"/>
      </w:tabs>
    </w:pPr>
  </w:style>
  <w:style w:type="paragraph" w:styleId="Footer">
    <w:name w:val="footer"/>
    <w:basedOn w:val="Normal"/>
    <w:link w:val="FooterChar"/>
    <w:uiPriority w:val="99"/>
    <w:rsid w:val="00FD0F5C"/>
    <w:pPr>
      <w:tabs>
        <w:tab w:val="center" w:pos="4153"/>
        <w:tab w:val="right" w:pos="8306"/>
      </w:tabs>
    </w:pPr>
  </w:style>
  <w:style w:type="paragraph" w:styleId="FootnoteText">
    <w:name w:val="footnote text"/>
    <w:aliases w:val="EKOS Footnote Text"/>
    <w:basedOn w:val="Normal"/>
    <w:link w:val="FootnoteTextChar"/>
    <w:uiPriority w:val="99"/>
    <w:rsid w:val="00CD0D04"/>
    <w:pPr>
      <w:spacing w:before="0" w:after="0"/>
    </w:pPr>
    <w:rPr>
      <w:sz w:val="16"/>
      <w:szCs w:val="20"/>
    </w:rPr>
  </w:style>
  <w:style w:type="character" w:styleId="FootnoteReference">
    <w:name w:val="footnote reference"/>
    <w:aliases w:val="Footnote Reference (caveat)"/>
    <w:uiPriority w:val="99"/>
    <w:rsid w:val="00FD0F5C"/>
    <w:rPr>
      <w:vertAlign w:val="superscript"/>
    </w:rPr>
  </w:style>
  <w:style w:type="paragraph" w:customStyle="1" w:styleId="Char">
    <w:name w:val="Char"/>
    <w:basedOn w:val="Normal"/>
    <w:rsid w:val="00BF20D2"/>
    <w:pPr>
      <w:spacing w:before="0" w:after="160" w:line="240" w:lineRule="exact"/>
    </w:pPr>
    <w:rPr>
      <w:sz w:val="20"/>
      <w:szCs w:val="20"/>
      <w:lang w:val="en-US"/>
    </w:rPr>
  </w:style>
  <w:style w:type="paragraph" w:customStyle="1" w:styleId="Style18ptBoldDarkBlueCentered">
    <w:name w:val="Style 18 pt Bold Dark Blue Centered"/>
    <w:basedOn w:val="Normal"/>
    <w:rsid w:val="00FD0F5C"/>
    <w:pPr>
      <w:jc w:val="center"/>
    </w:pPr>
    <w:rPr>
      <w:b/>
      <w:bCs/>
      <w:color w:val="008080"/>
      <w:sz w:val="36"/>
      <w:szCs w:val="36"/>
    </w:rPr>
  </w:style>
  <w:style w:type="character" w:customStyle="1" w:styleId="MaintextCharChar1">
    <w:name w:val="Main text Char Char1"/>
    <w:rsid w:val="00FD0F5C"/>
    <w:rPr>
      <w:rFonts w:ascii="Arial" w:hAnsi="Arial"/>
      <w:sz w:val="24"/>
      <w:szCs w:val="24"/>
      <w:lang w:eastAsia="en-US"/>
    </w:rPr>
  </w:style>
  <w:style w:type="paragraph" w:styleId="BodyText3">
    <w:name w:val="Body Text 3"/>
    <w:basedOn w:val="Normal"/>
    <w:link w:val="BodyText3Char"/>
    <w:rsid w:val="00FD0F5C"/>
    <w:rPr>
      <w:rFonts w:ascii="Times New Roman" w:hAnsi="Times New Roman"/>
      <w:sz w:val="16"/>
      <w:szCs w:val="16"/>
    </w:rPr>
  </w:style>
  <w:style w:type="paragraph" w:customStyle="1" w:styleId="StyleTableBold">
    <w:name w:val="Style Table + Bold"/>
    <w:basedOn w:val="Normal"/>
    <w:rsid w:val="00FD0F5C"/>
    <w:pPr>
      <w:spacing w:before="60" w:after="60"/>
      <w:ind w:left="709"/>
    </w:pPr>
    <w:rPr>
      <w:b/>
      <w:bCs/>
      <w:szCs w:val="20"/>
    </w:rPr>
  </w:style>
  <w:style w:type="paragraph" w:customStyle="1" w:styleId="StyleCentered">
    <w:name w:val="Style Centered"/>
    <w:basedOn w:val="Normal"/>
    <w:rsid w:val="00FD0F5C"/>
    <w:pPr>
      <w:jc w:val="center"/>
    </w:pPr>
    <w:rPr>
      <w:szCs w:val="20"/>
    </w:rPr>
  </w:style>
  <w:style w:type="paragraph" w:customStyle="1" w:styleId="StyleHeading312ptTeal">
    <w:name w:val="Style Heading 3 + 12 pt Teal"/>
    <w:basedOn w:val="Heading3"/>
    <w:rsid w:val="00FD0F5C"/>
    <w:pPr>
      <w:ind w:left="0"/>
    </w:pPr>
    <w:rPr>
      <w:b/>
      <w:bCs/>
      <w:sz w:val="24"/>
      <w:szCs w:val="26"/>
    </w:rPr>
  </w:style>
  <w:style w:type="paragraph" w:customStyle="1" w:styleId="StyleMaintextItalicFirstline0cm">
    <w:name w:val="Style Main text + Italic First line:  0 cm"/>
    <w:basedOn w:val="Maintext"/>
    <w:rsid w:val="00FD0F5C"/>
    <w:pPr>
      <w:numPr>
        <w:ilvl w:val="0"/>
        <w:numId w:val="0"/>
      </w:numPr>
      <w:tabs>
        <w:tab w:val="num" w:pos="1134"/>
      </w:tabs>
      <w:ind w:left="958" w:right="958"/>
    </w:pPr>
    <w:rPr>
      <w:i/>
      <w:iCs/>
      <w:szCs w:val="20"/>
    </w:rPr>
  </w:style>
  <w:style w:type="paragraph" w:customStyle="1" w:styleId="StyleHeading3Left125cmBefore12ptAfter3pt">
    <w:name w:val="Style Heading 3 + Left:  1.25 cm Before:  12 pt After:  3 pt"/>
    <w:basedOn w:val="Heading3"/>
    <w:rsid w:val="00FD0F5C"/>
    <w:rPr>
      <w:b/>
      <w:bCs/>
      <w:color w:val="auto"/>
      <w:sz w:val="24"/>
      <w:szCs w:val="24"/>
      <w:lang w:val="en-US"/>
    </w:rPr>
  </w:style>
  <w:style w:type="paragraph" w:customStyle="1" w:styleId="StyleMaintextGillSansMT">
    <w:name w:val="Style Main text + Gill Sans MT"/>
    <w:basedOn w:val="Normal"/>
    <w:rsid w:val="00FD0F5C"/>
    <w:pPr>
      <w:numPr>
        <w:ilvl w:val="1"/>
        <w:numId w:val="4"/>
      </w:numPr>
      <w:tabs>
        <w:tab w:val="clear" w:pos="709"/>
        <w:tab w:val="num" w:pos="2149"/>
      </w:tabs>
      <w:ind w:left="2149" w:hanging="360"/>
    </w:pPr>
    <w:rPr>
      <w:lang w:val="en-US"/>
    </w:rPr>
  </w:style>
  <w:style w:type="character" w:customStyle="1" w:styleId="Char1CharChar">
    <w:name w:val="Char1 Char Char"/>
    <w:rsid w:val="00FD0F5C"/>
    <w:rPr>
      <w:rFonts w:ascii="Arial Bold" w:hAnsi="Arial Bold" w:cs="Arial"/>
      <w:b/>
      <w:bCs/>
      <w:color w:val="008080"/>
      <w:kern w:val="32"/>
      <w:sz w:val="32"/>
      <w:szCs w:val="28"/>
      <w:lang w:eastAsia="en-US"/>
    </w:rPr>
  </w:style>
  <w:style w:type="character" w:customStyle="1" w:styleId="CharChar14">
    <w:name w:val="Char Char14"/>
    <w:rsid w:val="00FD0F5C"/>
    <w:rPr>
      <w:rFonts w:ascii="Arial" w:hAnsi="Arial" w:cs="Arial"/>
      <w:b/>
      <w:bCs/>
      <w:iCs/>
      <w:color w:val="008080"/>
      <w:sz w:val="28"/>
      <w:szCs w:val="28"/>
      <w:lang w:val="en-GB" w:eastAsia="en-US" w:bidi="ar-SA"/>
    </w:rPr>
  </w:style>
  <w:style w:type="paragraph" w:styleId="BodyTextIndent">
    <w:name w:val="Body Text Indent"/>
    <w:basedOn w:val="Normal"/>
    <w:link w:val="BodyTextIndentChar"/>
    <w:rsid w:val="00FD0F5C"/>
    <w:pPr>
      <w:numPr>
        <w:numId w:val="6"/>
      </w:numPr>
      <w:tabs>
        <w:tab w:val="clear" w:pos="1914"/>
      </w:tabs>
      <w:ind w:left="283" w:firstLine="0"/>
    </w:pPr>
  </w:style>
  <w:style w:type="paragraph" w:customStyle="1" w:styleId="GVABullets">
    <w:name w:val="GVA Bullets"/>
    <w:basedOn w:val="Normal"/>
    <w:rsid w:val="00FD0F5C"/>
    <w:pPr>
      <w:numPr>
        <w:numId w:val="2"/>
      </w:numPr>
    </w:pPr>
    <w:rPr>
      <w:rFonts w:ascii="Times New Roman" w:hAnsi="Times New Roman"/>
    </w:rPr>
  </w:style>
  <w:style w:type="character" w:customStyle="1" w:styleId="MaintextCharChar">
    <w:name w:val="Main text Char Char"/>
    <w:rsid w:val="00FD0F5C"/>
    <w:rPr>
      <w:rFonts w:ascii="Arial" w:hAnsi="Arial"/>
      <w:sz w:val="24"/>
      <w:szCs w:val="24"/>
      <w:lang w:val="en-US" w:eastAsia="en-US" w:bidi="ar-SA"/>
    </w:rPr>
  </w:style>
  <w:style w:type="paragraph" w:styleId="BodyTextIndent3">
    <w:name w:val="Body Text Indent 3"/>
    <w:basedOn w:val="Normal"/>
    <w:link w:val="BodyTextIndent3Char"/>
    <w:rsid w:val="00FD0F5C"/>
    <w:pPr>
      <w:ind w:left="283"/>
    </w:pPr>
    <w:rPr>
      <w:sz w:val="16"/>
      <w:szCs w:val="16"/>
    </w:rPr>
  </w:style>
  <w:style w:type="paragraph" w:customStyle="1" w:styleId="Default">
    <w:name w:val="Default"/>
    <w:rsid w:val="00FD0F5C"/>
    <w:pPr>
      <w:autoSpaceDE w:val="0"/>
      <w:autoSpaceDN w:val="0"/>
      <w:adjustRightInd w:val="0"/>
    </w:pPr>
    <w:rPr>
      <w:rFonts w:ascii="Arial" w:eastAsia="SimSun" w:hAnsi="Arial" w:cs="Arial"/>
      <w:color w:val="000000"/>
      <w:sz w:val="24"/>
      <w:szCs w:val="24"/>
      <w:lang w:eastAsia="zh-CN"/>
    </w:rPr>
  </w:style>
  <w:style w:type="paragraph" w:styleId="BodyText">
    <w:name w:val="Body Text"/>
    <w:basedOn w:val="Normal"/>
    <w:link w:val="BodyTextChar"/>
    <w:rsid w:val="00FD0F5C"/>
    <w:rPr>
      <w:rFonts w:ascii="Times New Roman" w:hAnsi="Times New Roman"/>
    </w:rPr>
  </w:style>
  <w:style w:type="paragraph" w:customStyle="1" w:styleId="StyleHeading312ptWhite">
    <w:name w:val="Style Heading 3 + 12 pt White"/>
    <w:basedOn w:val="Heading3"/>
    <w:rsid w:val="00FD0F5C"/>
    <w:pPr>
      <w:spacing w:before="0" w:after="0"/>
      <w:ind w:left="0"/>
    </w:pPr>
    <w:rPr>
      <w:b/>
      <w:bCs/>
      <w:color w:val="FFFFFF"/>
      <w:sz w:val="26"/>
      <w:szCs w:val="20"/>
      <w:lang w:val="en-US"/>
    </w:rPr>
  </w:style>
  <w:style w:type="paragraph" w:customStyle="1" w:styleId="bullets">
    <w:name w:val="bullets"/>
    <w:basedOn w:val="Normal"/>
    <w:rsid w:val="00FD0F5C"/>
    <w:pPr>
      <w:numPr>
        <w:numId w:val="7"/>
      </w:numPr>
      <w:tabs>
        <w:tab w:val="left" w:pos="1276"/>
      </w:tabs>
      <w:ind w:left="1276" w:hanging="567"/>
    </w:pPr>
    <w:rPr>
      <w:szCs w:val="22"/>
    </w:rPr>
  </w:style>
  <w:style w:type="character" w:customStyle="1" w:styleId="bulletsChar2">
    <w:name w:val="bullets Char2"/>
    <w:rsid w:val="00FD0F5C"/>
    <w:rPr>
      <w:rFonts w:ascii="Arial" w:hAnsi="Arial"/>
      <w:sz w:val="22"/>
      <w:szCs w:val="22"/>
      <w:lang w:eastAsia="en-US"/>
    </w:rPr>
  </w:style>
  <w:style w:type="paragraph" w:styleId="BalloonText">
    <w:name w:val="Balloon Text"/>
    <w:basedOn w:val="Normal"/>
    <w:link w:val="BalloonTextChar"/>
    <w:semiHidden/>
    <w:rsid w:val="00FD0F5C"/>
    <w:rPr>
      <w:rFonts w:ascii="Tahoma" w:hAnsi="Tahoma"/>
      <w:sz w:val="16"/>
      <w:szCs w:val="16"/>
    </w:rPr>
  </w:style>
  <w:style w:type="paragraph" w:styleId="DocumentMap">
    <w:name w:val="Document Map"/>
    <w:basedOn w:val="Normal"/>
    <w:link w:val="DocumentMapChar"/>
    <w:semiHidden/>
    <w:rsid w:val="00FD0F5C"/>
    <w:pPr>
      <w:shd w:val="clear" w:color="auto" w:fill="000080"/>
    </w:pPr>
    <w:rPr>
      <w:rFonts w:ascii="Tahoma" w:hAnsi="Tahoma"/>
    </w:rPr>
  </w:style>
  <w:style w:type="character" w:customStyle="1" w:styleId="Hyperlink1">
    <w:name w:val="Hyperlink1"/>
    <w:rsid w:val="00FD0F5C"/>
    <w:rPr>
      <w:strike w:val="0"/>
      <w:dstrike w:val="0"/>
      <w:color w:val="008083"/>
      <w:u w:val="single"/>
      <w:effect w:val="none"/>
      <w:shd w:val="clear" w:color="auto" w:fill="auto"/>
    </w:rPr>
  </w:style>
  <w:style w:type="paragraph" w:customStyle="1" w:styleId="StyleMaintextJustified1">
    <w:name w:val="Style Main text + Justified1"/>
    <w:basedOn w:val="Maintext"/>
    <w:rsid w:val="00FD0F5C"/>
    <w:pPr>
      <w:numPr>
        <w:numId w:val="5"/>
      </w:numPr>
    </w:pPr>
    <w:rPr>
      <w:szCs w:val="20"/>
    </w:rPr>
  </w:style>
  <w:style w:type="character" w:customStyle="1" w:styleId="MaintextChar">
    <w:name w:val="Main text Char"/>
    <w:rsid w:val="00FD0F5C"/>
    <w:rPr>
      <w:rFonts w:ascii="Arial" w:hAnsi="Arial"/>
      <w:sz w:val="24"/>
      <w:szCs w:val="24"/>
      <w:lang w:val="en-GB" w:eastAsia="en-US" w:bidi="ar-SA"/>
    </w:rPr>
  </w:style>
  <w:style w:type="paragraph" w:customStyle="1" w:styleId="StyleMaintextLeft">
    <w:name w:val="Style Main text + Left"/>
    <w:basedOn w:val="Maintext"/>
    <w:rsid w:val="00FD0F5C"/>
    <w:rPr>
      <w:szCs w:val="20"/>
    </w:rPr>
  </w:style>
  <w:style w:type="paragraph" w:customStyle="1" w:styleId="StyleHeading3Firstline125cm">
    <w:name w:val="Style Heading 3 + First line:  1.25 cm"/>
    <w:basedOn w:val="Heading3"/>
    <w:rsid w:val="00FD0F5C"/>
    <w:pPr>
      <w:spacing w:before="0" w:after="0"/>
      <w:ind w:left="0" w:firstLine="709"/>
    </w:pPr>
    <w:rPr>
      <w:b/>
      <w:bCs/>
      <w:color w:val="auto"/>
      <w:sz w:val="26"/>
      <w:szCs w:val="20"/>
      <w:lang w:val="en-US"/>
    </w:rPr>
  </w:style>
  <w:style w:type="paragraph" w:styleId="EndnoteText">
    <w:name w:val="endnote text"/>
    <w:basedOn w:val="Normal"/>
    <w:link w:val="EndnoteTextChar"/>
    <w:semiHidden/>
    <w:unhideWhenUsed/>
    <w:rsid w:val="00FD0F5C"/>
    <w:rPr>
      <w:sz w:val="20"/>
      <w:szCs w:val="20"/>
    </w:rPr>
  </w:style>
  <w:style w:type="character" w:customStyle="1" w:styleId="CharChar2">
    <w:name w:val="Char Char2"/>
    <w:semiHidden/>
    <w:rsid w:val="00FD0F5C"/>
    <w:rPr>
      <w:rFonts w:ascii="Arial" w:hAnsi="Arial"/>
      <w:lang w:eastAsia="en-US"/>
    </w:rPr>
  </w:style>
  <w:style w:type="character" w:styleId="EndnoteReference">
    <w:name w:val="endnote reference"/>
    <w:semiHidden/>
    <w:unhideWhenUsed/>
    <w:rsid w:val="00FD0F5C"/>
    <w:rPr>
      <w:vertAlign w:val="superscript"/>
    </w:rPr>
  </w:style>
  <w:style w:type="character" w:customStyle="1" w:styleId="CharChar13">
    <w:name w:val="Char Char13"/>
    <w:rsid w:val="00FD0F5C"/>
    <w:rPr>
      <w:rFonts w:ascii="Arial" w:hAnsi="Arial" w:cs="Arial"/>
      <w:color w:val="008080"/>
      <w:sz w:val="28"/>
      <w:szCs w:val="28"/>
      <w:lang w:eastAsia="en-US"/>
    </w:rPr>
  </w:style>
  <w:style w:type="character" w:customStyle="1" w:styleId="CharChar12">
    <w:name w:val="Char Char12"/>
    <w:rsid w:val="00FD0F5C"/>
    <w:rPr>
      <w:rFonts w:ascii="Arial" w:hAnsi="Arial"/>
      <w:bCs/>
      <w:i/>
      <w:color w:val="008080"/>
      <w:sz w:val="24"/>
      <w:szCs w:val="24"/>
      <w:lang w:eastAsia="en-US"/>
    </w:rPr>
  </w:style>
  <w:style w:type="character" w:customStyle="1" w:styleId="DoNotUse5CharChar">
    <w:name w:val="Do Not Use 5 Char Char"/>
    <w:rsid w:val="00FD0F5C"/>
    <w:rPr>
      <w:rFonts w:ascii="Arial" w:hAnsi="Arial"/>
      <w:b/>
      <w:bCs/>
      <w:i/>
      <w:iCs/>
      <w:sz w:val="26"/>
      <w:szCs w:val="26"/>
      <w:lang w:eastAsia="en-US"/>
    </w:rPr>
  </w:style>
  <w:style w:type="character" w:customStyle="1" w:styleId="DoNotUse6CharChar">
    <w:name w:val="Do Not Use 6 Char Char"/>
    <w:rsid w:val="00FD0F5C"/>
    <w:rPr>
      <w:b/>
      <w:bCs/>
      <w:sz w:val="22"/>
      <w:szCs w:val="22"/>
      <w:lang w:eastAsia="en-US"/>
    </w:rPr>
  </w:style>
  <w:style w:type="character" w:customStyle="1" w:styleId="DoNotUse7CharChar">
    <w:name w:val="Do Not Use 7 Char Char"/>
    <w:rsid w:val="00FD0F5C"/>
    <w:rPr>
      <w:sz w:val="24"/>
      <w:szCs w:val="24"/>
      <w:lang w:eastAsia="en-US"/>
    </w:rPr>
  </w:style>
  <w:style w:type="character" w:customStyle="1" w:styleId="DoNotUse8CharChar">
    <w:name w:val="Do Not Use 8 Char Char"/>
    <w:rsid w:val="00FD0F5C"/>
    <w:rPr>
      <w:i/>
      <w:iCs/>
      <w:sz w:val="24"/>
      <w:szCs w:val="24"/>
      <w:lang w:eastAsia="en-US"/>
    </w:rPr>
  </w:style>
  <w:style w:type="character" w:customStyle="1" w:styleId="DoNotUse9CharChar">
    <w:name w:val="Do Not Use 9 Char Char"/>
    <w:rsid w:val="00FD0F5C"/>
    <w:rPr>
      <w:rFonts w:ascii="Arial" w:hAnsi="Arial" w:cs="Arial"/>
      <w:sz w:val="22"/>
      <w:szCs w:val="22"/>
      <w:lang w:eastAsia="en-US"/>
    </w:rPr>
  </w:style>
  <w:style w:type="character" w:customStyle="1" w:styleId="CharChar11">
    <w:name w:val="Char Char11"/>
    <w:rsid w:val="00FD0F5C"/>
    <w:rPr>
      <w:rFonts w:ascii="Arial" w:hAnsi="Arial"/>
      <w:sz w:val="24"/>
      <w:szCs w:val="24"/>
      <w:lang w:eastAsia="en-US"/>
    </w:rPr>
  </w:style>
  <w:style w:type="character" w:customStyle="1" w:styleId="CharChar10">
    <w:name w:val="Char Char10"/>
    <w:rsid w:val="00FD0F5C"/>
    <w:rPr>
      <w:rFonts w:ascii="Arial" w:hAnsi="Arial"/>
      <w:sz w:val="24"/>
      <w:szCs w:val="24"/>
      <w:lang w:eastAsia="en-US"/>
    </w:rPr>
  </w:style>
  <w:style w:type="character" w:customStyle="1" w:styleId="CharChar9">
    <w:name w:val="Char Char9"/>
    <w:semiHidden/>
    <w:rsid w:val="00FD0F5C"/>
    <w:rPr>
      <w:rFonts w:ascii="Arial" w:hAnsi="Arial"/>
      <w:lang w:eastAsia="en-US"/>
    </w:rPr>
  </w:style>
  <w:style w:type="character" w:customStyle="1" w:styleId="CharChar8">
    <w:name w:val="Char Char8"/>
    <w:rsid w:val="00FD0F5C"/>
    <w:rPr>
      <w:sz w:val="16"/>
      <w:szCs w:val="16"/>
      <w:lang w:eastAsia="en-US"/>
    </w:rPr>
  </w:style>
  <w:style w:type="character" w:customStyle="1" w:styleId="CharChar7">
    <w:name w:val="Char Char7"/>
    <w:rsid w:val="00FD0F5C"/>
    <w:rPr>
      <w:rFonts w:ascii="Arial" w:hAnsi="Arial"/>
      <w:sz w:val="24"/>
      <w:szCs w:val="24"/>
      <w:lang w:eastAsia="en-US"/>
    </w:rPr>
  </w:style>
  <w:style w:type="character" w:customStyle="1" w:styleId="CharChar6">
    <w:name w:val="Char Char6"/>
    <w:rsid w:val="00FD0F5C"/>
    <w:rPr>
      <w:rFonts w:ascii="Arial" w:hAnsi="Arial"/>
      <w:sz w:val="16"/>
      <w:szCs w:val="16"/>
      <w:lang w:eastAsia="en-US"/>
    </w:rPr>
  </w:style>
  <w:style w:type="character" w:customStyle="1" w:styleId="CharChar5">
    <w:name w:val="Char Char5"/>
    <w:rsid w:val="00FD0F5C"/>
    <w:rPr>
      <w:sz w:val="24"/>
      <w:szCs w:val="24"/>
      <w:lang w:eastAsia="en-US"/>
    </w:rPr>
  </w:style>
  <w:style w:type="character" w:customStyle="1" w:styleId="CharChar4">
    <w:name w:val="Char Char4"/>
    <w:semiHidden/>
    <w:rsid w:val="00FD0F5C"/>
    <w:rPr>
      <w:rFonts w:ascii="Tahoma" w:hAnsi="Tahoma" w:cs="Tahoma"/>
      <w:sz w:val="16"/>
      <w:szCs w:val="16"/>
      <w:lang w:eastAsia="en-US"/>
    </w:rPr>
  </w:style>
  <w:style w:type="character" w:customStyle="1" w:styleId="CharChar3">
    <w:name w:val="Char Char3"/>
    <w:semiHidden/>
    <w:rsid w:val="00FD0F5C"/>
    <w:rPr>
      <w:rFonts w:ascii="Tahoma" w:hAnsi="Tahoma" w:cs="Tahoma"/>
      <w:sz w:val="24"/>
      <w:szCs w:val="24"/>
      <w:shd w:val="clear" w:color="auto" w:fill="000080"/>
      <w:lang w:eastAsia="en-US"/>
    </w:rPr>
  </w:style>
  <w:style w:type="character" w:styleId="CommentReference">
    <w:name w:val="annotation reference"/>
    <w:semiHidden/>
    <w:rsid w:val="00FD0F5C"/>
    <w:rPr>
      <w:sz w:val="16"/>
      <w:szCs w:val="16"/>
    </w:rPr>
  </w:style>
  <w:style w:type="paragraph" w:styleId="CommentText">
    <w:name w:val="annotation text"/>
    <w:basedOn w:val="Normal"/>
    <w:link w:val="CommentTextChar"/>
    <w:rsid w:val="00FD0F5C"/>
    <w:rPr>
      <w:sz w:val="20"/>
      <w:szCs w:val="20"/>
    </w:rPr>
  </w:style>
  <w:style w:type="paragraph" w:styleId="CommentSubject">
    <w:name w:val="annotation subject"/>
    <w:basedOn w:val="CommentText"/>
    <w:next w:val="CommentText"/>
    <w:link w:val="CommentSubjectChar"/>
    <w:semiHidden/>
    <w:rsid w:val="00FD0F5C"/>
    <w:rPr>
      <w:b/>
      <w:bCs/>
    </w:rPr>
  </w:style>
  <w:style w:type="paragraph" w:customStyle="1" w:styleId="Normal9pt">
    <w:name w:val="Normal + 9 pt"/>
    <w:basedOn w:val="Normal"/>
    <w:rsid w:val="00FD0F5C"/>
    <w:pPr>
      <w:spacing w:before="0" w:after="0" w:line="250" w:lineRule="exact"/>
    </w:pPr>
    <w:rPr>
      <w:sz w:val="18"/>
      <w:szCs w:val="20"/>
    </w:rPr>
  </w:style>
  <w:style w:type="paragraph" w:styleId="BodyText2">
    <w:name w:val="Body Text 2"/>
    <w:basedOn w:val="Normal"/>
    <w:link w:val="BodyText2Char"/>
    <w:rsid w:val="00FD0F5C"/>
    <w:pPr>
      <w:spacing w:line="480" w:lineRule="auto"/>
    </w:pPr>
  </w:style>
  <w:style w:type="character" w:customStyle="1" w:styleId="CharChar1">
    <w:name w:val="Char Char1"/>
    <w:rsid w:val="00FD0F5C"/>
    <w:rPr>
      <w:rFonts w:ascii="Arial" w:hAnsi="Arial"/>
      <w:sz w:val="24"/>
      <w:szCs w:val="24"/>
      <w:lang w:eastAsia="en-US"/>
    </w:rPr>
  </w:style>
  <w:style w:type="character" w:customStyle="1" w:styleId="FootnoteTextChar">
    <w:name w:val="Footnote Text Char"/>
    <w:aliases w:val="EKOS Footnote Text Char"/>
    <w:link w:val="FootnoteText"/>
    <w:uiPriority w:val="99"/>
    <w:rsid w:val="00CD0D04"/>
    <w:rPr>
      <w:rFonts w:ascii="Arial" w:hAnsi="Arial"/>
      <w:sz w:val="16"/>
      <w:lang w:eastAsia="en-US"/>
    </w:rPr>
  </w:style>
  <w:style w:type="paragraph" w:styleId="ListParagraph">
    <w:name w:val="List Paragraph"/>
    <w:basedOn w:val="Normal"/>
    <w:link w:val="ListParagraphChar"/>
    <w:uiPriority w:val="34"/>
    <w:rsid w:val="00BC23BD"/>
    <w:pPr>
      <w:ind w:left="720"/>
    </w:pPr>
  </w:style>
  <w:style w:type="character" w:customStyle="1" w:styleId="clear">
    <w:name w:val="clear"/>
    <w:basedOn w:val="DefaultParagraphFont"/>
    <w:rsid w:val="008704CC"/>
  </w:style>
  <w:style w:type="character" w:customStyle="1" w:styleId="Heading1Char">
    <w:name w:val="Heading 1 Char"/>
    <w:aliases w:val="Heading 1 New Char,Char1 Char,Section Char,Chapter Hdg Char,Economics Section Char,New Section Char,Economics Section Heading Char,My Heading 1 Char,Lev 1 Char,Section Heading Char,(Alt 1) Char,Numbered - 1 Char,Outline1 Char,1 ghost Char"/>
    <w:link w:val="Heading1"/>
    <w:rsid w:val="0014458C"/>
    <w:rPr>
      <w:rFonts w:ascii="Calibri" w:hAnsi="Calibri"/>
      <w:bCs/>
      <w:color w:val="009999"/>
      <w:kern w:val="32"/>
      <w:sz w:val="40"/>
      <w:szCs w:val="28"/>
      <w:lang w:eastAsia="en-US"/>
    </w:rPr>
  </w:style>
  <w:style w:type="character" w:customStyle="1" w:styleId="Heading2Char">
    <w:name w:val="Heading 2 Char"/>
    <w:link w:val="Heading2"/>
    <w:rsid w:val="007677BC"/>
    <w:rPr>
      <w:rFonts w:ascii="Calibri" w:hAnsi="Calibri"/>
      <w:bCs/>
      <w:iCs/>
      <w:color w:val="009999"/>
      <w:sz w:val="32"/>
      <w:szCs w:val="28"/>
      <w:lang w:eastAsia="en-US"/>
    </w:rPr>
  </w:style>
  <w:style w:type="character" w:customStyle="1" w:styleId="apple-converted-space">
    <w:name w:val="apple-converted-space"/>
    <w:basedOn w:val="DefaultParagraphFont"/>
    <w:rsid w:val="00E864F4"/>
  </w:style>
  <w:style w:type="paragraph" w:styleId="Revision">
    <w:name w:val="Revision"/>
    <w:hidden/>
    <w:semiHidden/>
    <w:rsid w:val="000F16B2"/>
    <w:rPr>
      <w:rFonts w:ascii="Arial" w:hAnsi="Arial"/>
      <w:sz w:val="24"/>
      <w:szCs w:val="24"/>
      <w:lang w:eastAsia="en-US"/>
    </w:rPr>
  </w:style>
  <w:style w:type="character" w:customStyle="1" w:styleId="Heading3Char1">
    <w:name w:val="Heading 3 Char1"/>
    <w:link w:val="Heading3"/>
    <w:rsid w:val="007677BC"/>
    <w:rPr>
      <w:rFonts w:ascii="Calibri" w:hAnsi="Calibri"/>
      <w:color w:val="009999"/>
      <w:sz w:val="28"/>
      <w:szCs w:val="28"/>
      <w:lang w:eastAsia="en-US"/>
    </w:rPr>
  </w:style>
  <w:style w:type="character" w:customStyle="1" w:styleId="Heading4Char">
    <w:name w:val="Heading 4 Char"/>
    <w:link w:val="Heading4"/>
    <w:rsid w:val="007677BC"/>
    <w:rPr>
      <w:rFonts w:ascii="Calibri" w:hAnsi="Calibri"/>
      <w:bCs/>
      <w:i/>
      <w:color w:val="009999"/>
      <w:sz w:val="24"/>
      <w:szCs w:val="24"/>
      <w:lang w:eastAsia="en-US"/>
    </w:rPr>
  </w:style>
  <w:style w:type="character" w:customStyle="1" w:styleId="Heading5Char">
    <w:name w:val="Heading 5 Char"/>
    <w:aliases w:val="Do Not Use 5 Char,Economics Bullets Char,paragraph Char,Bold &amp; Italic Char,Paragraph Text Char,Lower Case Char2,Lower Case Char Char,Heading 5 Char1 Char,Lower Case Char1 Char,Bold &amp; Italic Char1 Char,paragraph Char Char Char Char"/>
    <w:link w:val="Heading5"/>
    <w:rsid w:val="002A4C96"/>
    <w:rPr>
      <w:rFonts w:ascii="Calibri" w:hAnsi="Calibri"/>
      <w:b/>
      <w:bCs/>
      <w:i/>
      <w:iCs/>
      <w:sz w:val="26"/>
      <w:szCs w:val="26"/>
      <w:lang w:eastAsia="en-US"/>
    </w:rPr>
  </w:style>
  <w:style w:type="character" w:customStyle="1" w:styleId="Heading6Char">
    <w:name w:val="Heading 6 Char"/>
    <w:aliases w:val="Do Not Use 6 Char,Economics Bullets 2 Char,level 1 bullet Char,Legal Level 1. Char,level 1 bullet 1 Char,level 1 bullet Char Char Char Char,level 1 bullet 1 Char Char Char Char,level 1 bullet 1 Char Char Char Char Char Char Char Char"/>
    <w:link w:val="Heading6"/>
    <w:rsid w:val="002A4C96"/>
    <w:rPr>
      <w:b/>
      <w:bCs/>
      <w:sz w:val="24"/>
      <w:szCs w:val="22"/>
      <w:lang w:eastAsia="en-US"/>
    </w:rPr>
  </w:style>
  <w:style w:type="character" w:customStyle="1" w:styleId="Heading7Char">
    <w:name w:val="Heading 7 Char"/>
    <w:aliases w:val="Do Not Use 7 Char,Economics List (i) Char,level 2 bullets Char,Legal Level 1.1. Char"/>
    <w:link w:val="Heading7"/>
    <w:rsid w:val="002A4C96"/>
    <w:rPr>
      <w:sz w:val="24"/>
      <w:szCs w:val="24"/>
      <w:lang w:eastAsia="en-US"/>
    </w:rPr>
  </w:style>
  <w:style w:type="character" w:customStyle="1" w:styleId="Heading8Char">
    <w:name w:val="Heading 8 Char"/>
    <w:aliases w:val="Do Not Use 8 Char,Economics List (a) Char,level 3 bullets Char,Legal Level 1.1.1. Char,Bullet 3 Char"/>
    <w:link w:val="Heading8"/>
    <w:rsid w:val="002A4C96"/>
    <w:rPr>
      <w:i/>
      <w:iCs/>
      <w:sz w:val="24"/>
      <w:szCs w:val="24"/>
      <w:lang w:eastAsia="en-US"/>
    </w:rPr>
  </w:style>
  <w:style w:type="character" w:customStyle="1" w:styleId="Heading9Char">
    <w:name w:val="Heading 9 Char"/>
    <w:aliases w:val="Do Not Use 9 Char,Legal Level 1.1.1.1. Char"/>
    <w:link w:val="Heading9"/>
    <w:rsid w:val="002A4C96"/>
    <w:rPr>
      <w:rFonts w:ascii="Calibri" w:hAnsi="Calibri"/>
      <w:sz w:val="24"/>
      <w:szCs w:val="22"/>
      <w:lang w:eastAsia="en-US"/>
    </w:rPr>
  </w:style>
  <w:style w:type="character" w:customStyle="1" w:styleId="HeaderChar">
    <w:name w:val="Header Char"/>
    <w:link w:val="Header"/>
    <w:uiPriority w:val="99"/>
    <w:rsid w:val="002A4C96"/>
    <w:rPr>
      <w:rFonts w:ascii="Arial" w:hAnsi="Arial"/>
      <w:sz w:val="24"/>
      <w:szCs w:val="24"/>
      <w:lang w:eastAsia="en-US"/>
    </w:rPr>
  </w:style>
  <w:style w:type="character" w:customStyle="1" w:styleId="FooterChar">
    <w:name w:val="Footer Char"/>
    <w:link w:val="Footer"/>
    <w:uiPriority w:val="99"/>
    <w:rsid w:val="002A4C96"/>
    <w:rPr>
      <w:rFonts w:ascii="Arial" w:hAnsi="Arial"/>
      <w:sz w:val="24"/>
      <w:szCs w:val="24"/>
      <w:lang w:eastAsia="en-US"/>
    </w:rPr>
  </w:style>
  <w:style w:type="character" w:customStyle="1" w:styleId="BodyText3Char">
    <w:name w:val="Body Text 3 Char"/>
    <w:link w:val="BodyText3"/>
    <w:rsid w:val="002A4C96"/>
    <w:rPr>
      <w:sz w:val="16"/>
      <w:szCs w:val="16"/>
      <w:lang w:eastAsia="en-US"/>
    </w:rPr>
  </w:style>
  <w:style w:type="character" w:customStyle="1" w:styleId="BodyTextIndentChar">
    <w:name w:val="Body Text Indent Char"/>
    <w:link w:val="BodyTextIndent"/>
    <w:rsid w:val="002A4C96"/>
    <w:rPr>
      <w:rFonts w:ascii="Calibri" w:hAnsi="Calibri"/>
      <w:sz w:val="24"/>
      <w:szCs w:val="24"/>
      <w:lang w:eastAsia="en-US"/>
    </w:rPr>
  </w:style>
  <w:style w:type="character" w:customStyle="1" w:styleId="BodyTextIndent3Char">
    <w:name w:val="Body Text Indent 3 Char"/>
    <w:link w:val="BodyTextIndent3"/>
    <w:rsid w:val="002A4C96"/>
    <w:rPr>
      <w:rFonts w:ascii="Arial" w:hAnsi="Arial"/>
      <w:sz w:val="16"/>
      <w:szCs w:val="16"/>
      <w:lang w:eastAsia="en-US"/>
    </w:rPr>
  </w:style>
  <w:style w:type="character" w:customStyle="1" w:styleId="BodyTextChar">
    <w:name w:val="Body Text Char"/>
    <w:link w:val="BodyText"/>
    <w:rsid w:val="002A4C96"/>
    <w:rPr>
      <w:sz w:val="24"/>
      <w:szCs w:val="24"/>
      <w:lang w:eastAsia="en-US"/>
    </w:rPr>
  </w:style>
  <w:style w:type="character" w:customStyle="1" w:styleId="BalloonTextChar">
    <w:name w:val="Balloon Text Char"/>
    <w:link w:val="BalloonText"/>
    <w:semiHidden/>
    <w:rsid w:val="002A4C96"/>
    <w:rPr>
      <w:rFonts w:ascii="Tahoma" w:hAnsi="Tahoma" w:cs="Tahoma"/>
      <w:sz w:val="16"/>
      <w:szCs w:val="16"/>
      <w:lang w:eastAsia="en-US"/>
    </w:rPr>
  </w:style>
  <w:style w:type="character" w:customStyle="1" w:styleId="DocumentMapChar">
    <w:name w:val="Document Map Char"/>
    <w:link w:val="DocumentMap"/>
    <w:semiHidden/>
    <w:rsid w:val="002A4C96"/>
    <w:rPr>
      <w:rFonts w:ascii="Tahoma" w:hAnsi="Tahoma" w:cs="Tahoma"/>
      <w:sz w:val="24"/>
      <w:szCs w:val="24"/>
      <w:shd w:val="clear" w:color="auto" w:fill="000080"/>
      <w:lang w:eastAsia="en-US"/>
    </w:rPr>
  </w:style>
  <w:style w:type="character" w:customStyle="1" w:styleId="EndnoteTextChar">
    <w:name w:val="Endnote Text Char"/>
    <w:link w:val="EndnoteText"/>
    <w:semiHidden/>
    <w:rsid w:val="002A4C96"/>
    <w:rPr>
      <w:rFonts w:ascii="Arial" w:hAnsi="Arial"/>
      <w:lang w:eastAsia="en-US"/>
    </w:rPr>
  </w:style>
  <w:style w:type="character" w:customStyle="1" w:styleId="CommentTextChar">
    <w:name w:val="Comment Text Char"/>
    <w:link w:val="CommentText"/>
    <w:rsid w:val="002A4C96"/>
    <w:rPr>
      <w:rFonts w:ascii="Arial" w:hAnsi="Arial"/>
      <w:lang w:eastAsia="en-US"/>
    </w:rPr>
  </w:style>
  <w:style w:type="character" w:customStyle="1" w:styleId="CommentSubjectChar">
    <w:name w:val="Comment Subject Char"/>
    <w:link w:val="CommentSubject"/>
    <w:semiHidden/>
    <w:rsid w:val="002A4C96"/>
    <w:rPr>
      <w:rFonts w:ascii="Arial" w:hAnsi="Arial"/>
      <w:b/>
      <w:bCs/>
      <w:lang w:eastAsia="en-US"/>
    </w:rPr>
  </w:style>
  <w:style w:type="character" w:customStyle="1" w:styleId="BodyText2Char">
    <w:name w:val="Body Text 2 Char"/>
    <w:link w:val="BodyText2"/>
    <w:rsid w:val="002A4C96"/>
    <w:rPr>
      <w:rFonts w:ascii="Arial" w:hAnsi="Arial"/>
      <w:sz w:val="24"/>
      <w:szCs w:val="24"/>
      <w:lang w:eastAsia="en-US"/>
    </w:rPr>
  </w:style>
  <w:style w:type="table" w:styleId="TableGrid">
    <w:name w:val="Table Grid"/>
    <w:basedOn w:val="TableNormal"/>
    <w:uiPriority w:val="59"/>
    <w:rsid w:val="002A4C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16473"/>
    <w:rPr>
      <w:color w:val="800080"/>
      <w:u w:val="single"/>
    </w:rPr>
  </w:style>
  <w:style w:type="paragraph" w:styleId="PlainText">
    <w:name w:val="Plain Text"/>
    <w:basedOn w:val="Normal"/>
    <w:link w:val="PlainTextChar"/>
    <w:rsid w:val="00C16473"/>
    <w:pPr>
      <w:spacing w:before="0" w:after="0"/>
    </w:pPr>
    <w:rPr>
      <w:sz w:val="20"/>
      <w:szCs w:val="20"/>
    </w:rPr>
  </w:style>
  <w:style w:type="character" w:customStyle="1" w:styleId="Heading3Char">
    <w:name w:val="Heading 3 Char"/>
    <w:rsid w:val="00C16473"/>
    <w:rPr>
      <w:rFonts w:ascii="Arial" w:hAnsi="Arial" w:cs="Arial"/>
      <w:color w:val="008080"/>
      <w:sz w:val="28"/>
      <w:szCs w:val="28"/>
      <w:lang w:val="en-GB" w:eastAsia="en-US" w:bidi="ar-SA"/>
    </w:rPr>
  </w:style>
  <w:style w:type="paragraph" w:customStyle="1" w:styleId="CM33">
    <w:name w:val="CM33"/>
    <w:basedOn w:val="Normal"/>
    <w:next w:val="Normal"/>
    <w:rsid w:val="00C16473"/>
    <w:pPr>
      <w:widowControl w:val="0"/>
      <w:autoSpaceDE w:val="0"/>
      <w:autoSpaceDN w:val="0"/>
      <w:adjustRightInd w:val="0"/>
      <w:spacing w:before="0" w:after="268"/>
    </w:pPr>
    <w:rPr>
      <w:rFonts w:ascii="Georgia" w:hAnsi="Georgia"/>
      <w:lang w:val="en-US"/>
    </w:rPr>
  </w:style>
  <w:style w:type="paragraph" w:customStyle="1" w:styleId="CM37">
    <w:name w:val="CM37"/>
    <w:basedOn w:val="Default"/>
    <w:next w:val="Default"/>
    <w:rsid w:val="00C16473"/>
    <w:pPr>
      <w:widowControl w:val="0"/>
      <w:spacing w:after="768"/>
    </w:pPr>
    <w:rPr>
      <w:rFonts w:ascii="Georgia" w:eastAsia="Times New Roman" w:hAnsi="Georgia" w:cs="Times New Roman"/>
      <w:color w:val="auto"/>
      <w:lang w:val="en-US" w:eastAsia="en-US"/>
    </w:rPr>
  </w:style>
  <w:style w:type="paragraph" w:styleId="NormalWeb">
    <w:name w:val="Normal (Web)"/>
    <w:basedOn w:val="Normal"/>
    <w:uiPriority w:val="99"/>
    <w:rsid w:val="00C16473"/>
    <w:pPr>
      <w:spacing w:before="100" w:beforeAutospacing="1" w:after="100" w:afterAutospacing="1"/>
    </w:pPr>
    <w:rPr>
      <w:rFonts w:ascii="Times New Roman" w:hAnsi="Times New Roman"/>
      <w:lang w:eastAsia="en-GB"/>
    </w:rPr>
  </w:style>
  <w:style w:type="character" w:customStyle="1" w:styleId="legdslegrhslegp2text">
    <w:name w:val="legds legrhs legp2text"/>
    <w:basedOn w:val="DefaultParagraphFont"/>
    <w:rsid w:val="00C16473"/>
  </w:style>
  <w:style w:type="character" w:customStyle="1" w:styleId="legdslegp1grouptitle">
    <w:name w:val="legds legp1grouptitle"/>
    <w:basedOn w:val="DefaultParagraphFont"/>
    <w:rsid w:val="00C16473"/>
  </w:style>
  <w:style w:type="character" w:customStyle="1" w:styleId="BodytextdcChar">
    <w:name w:val="Body text dc Char"/>
    <w:link w:val="Bodytextdc"/>
    <w:locked/>
    <w:rsid w:val="001C2C07"/>
    <w:rPr>
      <w:rFonts w:ascii="TimesNewRomanPS" w:hAnsi="TimesNewRomanPS" w:cs="TimesNewRomanPS"/>
      <w:color w:val="000000"/>
      <w:sz w:val="28"/>
      <w:szCs w:val="28"/>
      <w:lang w:eastAsia="en-US"/>
    </w:rPr>
  </w:style>
  <w:style w:type="paragraph" w:customStyle="1" w:styleId="Bodytextdc">
    <w:name w:val="Body text dc"/>
    <w:basedOn w:val="Normal"/>
    <w:link w:val="BodytextdcChar"/>
    <w:rsid w:val="001C2C07"/>
    <w:pPr>
      <w:widowControl w:val="0"/>
      <w:tabs>
        <w:tab w:val="left" w:pos="539"/>
        <w:tab w:val="left" w:pos="850"/>
      </w:tabs>
      <w:suppressAutoHyphens/>
      <w:autoSpaceDE w:val="0"/>
      <w:autoSpaceDN w:val="0"/>
      <w:adjustRightInd w:val="0"/>
      <w:spacing w:before="0" w:after="280" w:line="340" w:lineRule="atLeast"/>
    </w:pPr>
    <w:rPr>
      <w:rFonts w:ascii="TimesNewRomanPS" w:hAnsi="TimesNewRomanPS"/>
      <w:color w:val="000000"/>
      <w:sz w:val="28"/>
      <w:szCs w:val="28"/>
    </w:rPr>
  </w:style>
  <w:style w:type="table" w:styleId="TableColumns3">
    <w:name w:val="Table Columns 3"/>
    <w:basedOn w:val="TableNormal"/>
    <w:rsid w:val="001C2C07"/>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Reporttext">
    <w:name w:val="Report text"/>
    <w:basedOn w:val="Maintext"/>
    <w:link w:val="ReporttextChar"/>
    <w:qFormat/>
    <w:rsid w:val="0014458C"/>
    <w:pPr>
      <w:numPr>
        <w:numId w:val="25"/>
      </w:numPr>
      <w:tabs>
        <w:tab w:val="left" w:pos="709"/>
      </w:tabs>
    </w:pPr>
  </w:style>
  <w:style w:type="character" w:customStyle="1" w:styleId="MaintextChar1">
    <w:name w:val="Main text Char1"/>
    <w:link w:val="Maintext"/>
    <w:rsid w:val="001C2C07"/>
    <w:rPr>
      <w:rFonts w:ascii="Calibri" w:hAnsi="Calibri"/>
      <w:sz w:val="24"/>
      <w:szCs w:val="24"/>
      <w:lang w:eastAsia="en-US"/>
    </w:rPr>
  </w:style>
  <w:style w:type="character" w:customStyle="1" w:styleId="ReporttextChar">
    <w:name w:val="Report text Char"/>
    <w:link w:val="Reporttext"/>
    <w:rsid w:val="0014458C"/>
    <w:rPr>
      <w:rFonts w:ascii="Calibri" w:hAnsi="Calibri"/>
      <w:sz w:val="24"/>
      <w:szCs w:val="24"/>
      <w:lang w:eastAsia="en-US"/>
    </w:rPr>
  </w:style>
  <w:style w:type="table" w:styleId="LightList-Accent4">
    <w:name w:val="Light List Accent 4"/>
    <w:basedOn w:val="TableNormal"/>
    <w:uiPriority w:val="61"/>
    <w:rsid w:val="00185C4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Spacing">
    <w:name w:val="No Spacing"/>
    <w:link w:val="NoSpacingChar"/>
    <w:uiPriority w:val="1"/>
    <w:rsid w:val="0004072A"/>
    <w:rPr>
      <w:rFonts w:ascii="Calibri" w:hAnsi="Calibri"/>
      <w:sz w:val="22"/>
      <w:szCs w:val="22"/>
      <w:lang w:val="en-US" w:eastAsia="en-US"/>
    </w:rPr>
  </w:style>
  <w:style w:type="character" w:customStyle="1" w:styleId="NoSpacingChar">
    <w:name w:val="No Spacing Char"/>
    <w:link w:val="NoSpacing"/>
    <w:uiPriority w:val="1"/>
    <w:rsid w:val="0004072A"/>
    <w:rPr>
      <w:rFonts w:ascii="Calibri" w:hAnsi="Calibri"/>
      <w:sz w:val="22"/>
      <w:szCs w:val="22"/>
      <w:lang w:val="en-US" w:eastAsia="en-US" w:bidi="ar-SA"/>
    </w:rPr>
  </w:style>
  <w:style w:type="table" w:customStyle="1" w:styleId="LightList-Accent11">
    <w:name w:val="Light List - Accent 11"/>
    <w:basedOn w:val="TableNormal"/>
    <w:uiPriority w:val="61"/>
    <w:rsid w:val="00100EF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yleHelveticaNeue-Light24pt">
    <w:name w:val="Style HelveticaNeue-Light 24 pt"/>
    <w:rsid w:val="002F1584"/>
    <w:rPr>
      <w:rFonts w:ascii="Arial" w:hAnsi="Arial"/>
      <w:sz w:val="48"/>
    </w:rPr>
  </w:style>
  <w:style w:type="paragraph" w:customStyle="1" w:styleId="abullet">
    <w:name w:val="a. bullet"/>
    <w:basedOn w:val="PlainText"/>
    <w:rsid w:val="006458D3"/>
    <w:pPr>
      <w:numPr>
        <w:numId w:val="8"/>
      </w:numPr>
    </w:pPr>
    <w:rPr>
      <w:rFonts w:eastAsia="MS Mincho"/>
    </w:rPr>
  </w:style>
  <w:style w:type="paragraph" w:customStyle="1" w:styleId="1bullet">
    <w:name w:val="1. bullet"/>
    <w:basedOn w:val="PlainText"/>
    <w:rsid w:val="006458D3"/>
    <w:pPr>
      <w:tabs>
        <w:tab w:val="num" w:pos="709"/>
      </w:tabs>
      <w:ind w:left="709" w:hanging="709"/>
    </w:pPr>
    <w:rPr>
      <w:rFonts w:eastAsia="MS Mincho"/>
    </w:rPr>
  </w:style>
  <w:style w:type="paragraph" w:customStyle="1" w:styleId="2bullet">
    <w:name w:val="2. bullet"/>
    <w:basedOn w:val="1bullet"/>
    <w:rsid w:val="006458D3"/>
    <w:pPr>
      <w:tabs>
        <w:tab w:val="clear" w:pos="709"/>
        <w:tab w:val="num" w:pos="1134"/>
      </w:tabs>
      <w:ind w:left="1134" w:hanging="425"/>
    </w:pPr>
  </w:style>
  <w:style w:type="paragraph" w:customStyle="1" w:styleId="3bullet">
    <w:name w:val="3. bullet"/>
    <w:basedOn w:val="2bullet"/>
    <w:rsid w:val="006458D3"/>
    <w:pPr>
      <w:numPr>
        <w:numId w:val="11"/>
      </w:numPr>
    </w:pPr>
  </w:style>
  <w:style w:type="paragraph" w:customStyle="1" w:styleId="xl24">
    <w:name w:val="xl24"/>
    <w:basedOn w:val="Normal"/>
    <w:rsid w:val="006458D3"/>
    <w:pPr>
      <w:spacing w:before="100" w:beforeAutospacing="1" w:after="100" w:afterAutospacing="1"/>
    </w:pPr>
    <w:rPr>
      <w:rFonts w:cs="Arial"/>
    </w:rPr>
  </w:style>
  <w:style w:type="paragraph" w:customStyle="1" w:styleId="xl25">
    <w:name w:val="xl25"/>
    <w:basedOn w:val="Normal"/>
    <w:rsid w:val="006458D3"/>
    <w:pPr>
      <w:spacing w:before="100" w:beforeAutospacing="1" w:after="100" w:afterAutospacing="1"/>
    </w:pPr>
    <w:rPr>
      <w:rFonts w:cs="Arial"/>
      <w:sz w:val="16"/>
      <w:szCs w:val="16"/>
    </w:rPr>
  </w:style>
  <w:style w:type="character" w:customStyle="1" w:styleId="highlightedsearchterm">
    <w:name w:val="highlightedsearchterm"/>
    <w:basedOn w:val="DefaultParagraphFont"/>
    <w:rsid w:val="006458D3"/>
  </w:style>
  <w:style w:type="character" w:customStyle="1" w:styleId="PlainTextChar">
    <w:name w:val="Plain Text Char"/>
    <w:link w:val="PlainText"/>
    <w:rsid w:val="00EF389E"/>
    <w:rPr>
      <w:rFonts w:ascii="Arial" w:hAnsi="Arial" w:cs="Courier New"/>
      <w:lang w:eastAsia="en-US"/>
    </w:rPr>
  </w:style>
  <w:style w:type="paragraph" w:customStyle="1" w:styleId="tableheading">
    <w:name w:val="tableheading"/>
    <w:basedOn w:val="Normal"/>
    <w:next w:val="Normal"/>
    <w:link w:val="tableheadingChar"/>
    <w:qFormat/>
    <w:rsid w:val="00C925B4"/>
    <w:rPr>
      <w:rFonts w:cs="Arial"/>
      <w:b/>
      <w:color w:val="FFFFFF" w:themeColor="background1"/>
      <w:sz w:val="22"/>
    </w:rPr>
  </w:style>
  <w:style w:type="paragraph" w:customStyle="1" w:styleId="bullet">
    <w:name w:val="bullet"/>
    <w:basedOn w:val="ListParagraph"/>
    <w:link w:val="bulletChar"/>
    <w:qFormat/>
    <w:rsid w:val="007677BC"/>
    <w:pPr>
      <w:numPr>
        <w:numId w:val="9"/>
      </w:numPr>
    </w:pPr>
  </w:style>
  <w:style w:type="character" w:customStyle="1" w:styleId="tableheadingChar">
    <w:name w:val="tableheading Char"/>
    <w:link w:val="tableheading"/>
    <w:rsid w:val="00C925B4"/>
    <w:rPr>
      <w:rFonts w:ascii="Arial" w:hAnsi="Arial" w:cs="Arial"/>
      <w:b/>
      <w:color w:val="FFFFFF" w:themeColor="background1"/>
      <w:sz w:val="22"/>
      <w:szCs w:val="24"/>
      <w:lang w:eastAsia="en-US"/>
    </w:rPr>
  </w:style>
  <w:style w:type="paragraph" w:customStyle="1" w:styleId="mapheading">
    <w:name w:val="mapheading"/>
    <w:basedOn w:val="Normal"/>
    <w:link w:val="mapheadingChar"/>
    <w:qFormat/>
    <w:rsid w:val="007677BC"/>
    <w:pPr>
      <w:spacing w:before="0" w:after="0"/>
    </w:pPr>
    <w:rPr>
      <w:b/>
      <w:color w:val="009999"/>
      <w:sz w:val="22"/>
    </w:rPr>
  </w:style>
  <w:style w:type="character" w:customStyle="1" w:styleId="ListParagraphChar">
    <w:name w:val="List Paragraph Char"/>
    <w:link w:val="ListParagraph"/>
    <w:uiPriority w:val="34"/>
    <w:rsid w:val="0017107B"/>
    <w:rPr>
      <w:rFonts w:ascii="Arial" w:hAnsi="Arial"/>
      <w:sz w:val="24"/>
      <w:szCs w:val="24"/>
      <w:lang w:eastAsia="en-US"/>
    </w:rPr>
  </w:style>
  <w:style w:type="character" w:customStyle="1" w:styleId="bulletChar">
    <w:name w:val="bullet Char"/>
    <w:link w:val="bullet"/>
    <w:rsid w:val="007677BC"/>
    <w:rPr>
      <w:rFonts w:ascii="Calibri" w:hAnsi="Calibri"/>
      <w:sz w:val="24"/>
      <w:szCs w:val="24"/>
      <w:lang w:eastAsia="en-US"/>
    </w:rPr>
  </w:style>
  <w:style w:type="character" w:customStyle="1" w:styleId="mapheadingChar">
    <w:name w:val="mapheading Char"/>
    <w:link w:val="mapheading"/>
    <w:rsid w:val="007677BC"/>
    <w:rPr>
      <w:rFonts w:ascii="Calibri" w:hAnsi="Calibri"/>
      <w:b/>
      <w:color w:val="009999"/>
      <w:sz w:val="22"/>
      <w:szCs w:val="24"/>
      <w:lang w:eastAsia="en-US"/>
    </w:rPr>
  </w:style>
  <w:style w:type="paragraph" w:customStyle="1" w:styleId="figureheading">
    <w:name w:val="figureheading"/>
    <w:basedOn w:val="mapheading"/>
    <w:next w:val="Normal"/>
    <w:link w:val="figureheadingChar"/>
    <w:qFormat/>
    <w:rsid w:val="007677BC"/>
  </w:style>
  <w:style w:type="character" w:styleId="Strong">
    <w:name w:val="Strong"/>
    <w:uiPriority w:val="22"/>
    <w:rsid w:val="005620AF"/>
    <w:rPr>
      <w:b/>
      <w:bCs/>
    </w:rPr>
  </w:style>
  <w:style w:type="character" w:customStyle="1" w:styleId="figureheadingChar">
    <w:name w:val="figureheading Char"/>
    <w:link w:val="figureheading"/>
    <w:rsid w:val="007677BC"/>
    <w:rPr>
      <w:rFonts w:ascii="Calibri" w:hAnsi="Calibri"/>
      <w:b/>
      <w:color w:val="009999"/>
      <w:sz w:val="22"/>
      <w:szCs w:val="24"/>
      <w:lang w:eastAsia="en-US"/>
    </w:rPr>
  </w:style>
  <w:style w:type="paragraph" w:customStyle="1" w:styleId="frontpage">
    <w:name w:val="front page"/>
    <w:basedOn w:val="Normal"/>
    <w:autoRedefine/>
    <w:uiPriority w:val="99"/>
    <w:rsid w:val="00C91109"/>
    <w:pPr>
      <w:spacing w:before="720" w:after="720"/>
      <w:jc w:val="center"/>
    </w:pPr>
    <w:rPr>
      <w:b/>
      <w:caps/>
      <w:sz w:val="28"/>
      <w:szCs w:val="20"/>
    </w:rPr>
  </w:style>
  <w:style w:type="numbering" w:customStyle="1" w:styleId="Reportnumberingstyle">
    <w:name w:val="Report numbering style"/>
    <w:uiPriority w:val="99"/>
    <w:rsid w:val="00E90774"/>
    <w:pPr>
      <w:numPr>
        <w:numId w:val="16"/>
      </w:numPr>
    </w:pPr>
  </w:style>
  <w:style w:type="paragraph" w:customStyle="1" w:styleId="TOCHeading1">
    <w:name w:val="TOC Heading1"/>
    <w:basedOn w:val="Normal"/>
    <w:link w:val="TOCheadingChar"/>
    <w:qFormat/>
    <w:rsid w:val="00385919"/>
    <w:pPr>
      <w:spacing w:before="0" w:after="0"/>
    </w:pPr>
    <w:rPr>
      <w:rFonts w:cs="Arial"/>
      <w:color w:val="009999"/>
      <w:sz w:val="28"/>
      <w:szCs w:val="28"/>
    </w:rPr>
  </w:style>
  <w:style w:type="character" w:customStyle="1" w:styleId="TOCheadingChar">
    <w:name w:val="TOC heading Char"/>
    <w:basedOn w:val="DefaultParagraphFont"/>
    <w:link w:val="TOCHeading1"/>
    <w:rsid w:val="00385919"/>
    <w:rPr>
      <w:rFonts w:ascii="Arial" w:hAnsi="Arial" w:cs="Arial"/>
      <w:color w:val="009999"/>
      <w:sz w:val="28"/>
      <w:szCs w:val="28"/>
      <w:lang w:eastAsia="en-US"/>
    </w:rPr>
  </w:style>
  <w:style w:type="paragraph" w:styleId="Caption">
    <w:name w:val="caption"/>
    <w:basedOn w:val="Normal"/>
    <w:next w:val="Normal"/>
    <w:uiPriority w:val="99"/>
    <w:rsid w:val="00E16927"/>
    <w:pPr>
      <w:spacing w:line="360" w:lineRule="auto"/>
    </w:pPr>
    <w:rPr>
      <w:rFonts w:ascii="GillSans" w:hAnsi="GillSans"/>
      <w:b/>
      <w:bCs/>
      <w:sz w:val="20"/>
      <w:szCs w:val="20"/>
    </w:rPr>
  </w:style>
  <w:style w:type="paragraph" w:customStyle="1" w:styleId="HTMLBody">
    <w:name w:val="HTML Body"/>
    <w:uiPriority w:val="99"/>
    <w:rsid w:val="00E16927"/>
    <w:rPr>
      <w:rFonts w:ascii="Arial" w:hAnsi="Arial"/>
      <w:snapToGrid w:val="0"/>
      <w:lang w:val="en-US" w:eastAsia="en-US"/>
    </w:rPr>
  </w:style>
  <w:style w:type="paragraph" w:customStyle="1" w:styleId="CM22">
    <w:name w:val="CM22"/>
    <w:basedOn w:val="Default"/>
    <w:next w:val="Default"/>
    <w:uiPriority w:val="99"/>
    <w:rsid w:val="00E16927"/>
    <w:pPr>
      <w:widowControl w:val="0"/>
      <w:spacing w:after="445"/>
    </w:pPr>
    <w:rPr>
      <w:rFonts w:eastAsia="Times New Roman" w:cs="Times New Roman"/>
      <w:color w:val="auto"/>
      <w:lang w:val="en-US" w:eastAsia="en-US"/>
    </w:rPr>
  </w:style>
  <w:style w:type="paragraph" w:customStyle="1" w:styleId="CM23">
    <w:name w:val="CM23"/>
    <w:basedOn w:val="Default"/>
    <w:next w:val="Default"/>
    <w:uiPriority w:val="99"/>
    <w:rsid w:val="00E16927"/>
    <w:pPr>
      <w:widowControl w:val="0"/>
      <w:spacing w:after="253"/>
    </w:pPr>
    <w:rPr>
      <w:rFonts w:eastAsia="Times New Roman" w:cs="Times New Roman"/>
      <w:color w:val="auto"/>
      <w:lang w:val="en-US" w:eastAsia="en-US"/>
    </w:rPr>
  </w:style>
  <w:style w:type="paragraph" w:customStyle="1" w:styleId="CM25">
    <w:name w:val="CM25"/>
    <w:basedOn w:val="Default"/>
    <w:next w:val="Default"/>
    <w:uiPriority w:val="99"/>
    <w:rsid w:val="00E16927"/>
    <w:pPr>
      <w:widowControl w:val="0"/>
      <w:spacing w:after="508"/>
    </w:pPr>
    <w:rPr>
      <w:rFonts w:eastAsia="Times New Roman" w:cs="Times New Roman"/>
      <w:color w:val="auto"/>
      <w:lang w:val="en-US" w:eastAsia="en-US"/>
    </w:rPr>
  </w:style>
  <w:style w:type="paragraph" w:customStyle="1" w:styleId="CM6">
    <w:name w:val="CM6"/>
    <w:basedOn w:val="Default"/>
    <w:next w:val="Default"/>
    <w:uiPriority w:val="99"/>
    <w:rsid w:val="00E16927"/>
    <w:pPr>
      <w:widowControl w:val="0"/>
      <w:spacing w:line="260" w:lineRule="atLeast"/>
    </w:pPr>
    <w:rPr>
      <w:rFonts w:eastAsia="Times New Roman" w:cs="Times New Roman"/>
      <w:color w:val="auto"/>
      <w:lang w:val="en-US" w:eastAsia="en-US"/>
    </w:rPr>
  </w:style>
  <w:style w:type="paragraph" w:customStyle="1" w:styleId="CM14">
    <w:name w:val="CM14"/>
    <w:basedOn w:val="Default"/>
    <w:next w:val="Default"/>
    <w:uiPriority w:val="99"/>
    <w:rsid w:val="00E16927"/>
    <w:pPr>
      <w:widowControl w:val="0"/>
      <w:spacing w:line="260" w:lineRule="atLeast"/>
    </w:pPr>
    <w:rPr>
      <w:rFonts w:eastAsia="Times New Roman" w:cs="Times New Roman"/>
      <w:color w:val="auto"/>
      <w:lang w:val="en-US" w:eastAsia="en-US"/>
    </w:rPr>
  </w:style>
  <w:style w:type="paragraph" w:customStyle="1" w:styleId="CM28">
    <w:name w:val="CM28"/>
    <w:basedOn w:val="Default"/>
    <w:next w:val="Default"/>
    <w:uiPriority w:val="99"/>
    <w:rsid w:val="00E16927"/>
    <w:pPr>
      <w:widowControl w:val="0"/>
      <w:spacing w:after="170"/>
    </w:pPr>
    <w:rPr>
      <w:rFonts w:eastAsia="Times New Roman" w:cs="Times New Roman"/>
      <w:color w:val="auto"/>
      <w:lang w:val="en-US" w:eastAsia="en-US"/>
    </w:rPr>
  </w:style>
  <w:style w:type="paragraph" w:customStyle="1" w:styleId="bullet20">
    <w:name w:val="bullet 2"/>
    <w:basedOn w:val="Normal"/>
    <w:uiPriority w:val="99"/>
    <w:rsid w:val="00E16927"/>
    <w:pPr>
      <w:numPr>
        <w:ilvl w:val="2"/>
        <w:numId w:val="12"/>
      </w:numPr>
      <w:spacing w:before="0" w:after="0"/>
    </w:pPr>
  </w:style>
  <w:style w:type="paragraph" w:styleId="BodyTextIndent2">
    <w:name w:val="Body Text Indent 2"/>
    <w:basedOn w:val="Normal"/>
    <w:link w:val="BodyTextIndent2Char"/>
    <w:uiPriority w:val="99"/>
    <w:rsid w:val="00E16927"/>
    <w:pPr>
      <w:spacing w:before="0" w:after="0"/>
      <w:ind w:left="720"/>
    </w:pPr>
  </w:style>
  <w:style w:type="character" w:customStyle="1" w:styleId="BodyTextIndent2Char">
    <w:name w:val="Body Text Indent 2 Char"/>
    <w:basedOn w:val="DefaultParagraphFont"/>
    <w:link w:val="BodyTextIndent2"/>
    <w:uiPriority w:val="99"/>
    <w:rsid w:val="00E16927"/>
    <w:rPr>
      <w:rFonts w:ascii="Arial" w:hAnsi="Arial"/>
      <w:sz w:val="24"/>
      <w:szCs w:val="24"/>
      <w:lang w:eastAsia="en-US"/>
    </w:rPr>
  </w:style>
  <w:style w:type="paragraph" w:customStyle="1" w:styleId="StyleHeading214ptDarkBlueLeft125cmHanging125">
    <w:name w:val="Style Heading 2 + 14 pt Dark Blue Left:  1.25 cm Hanging:  1.25 ..."/>
    <w:basedOn w:val="Heading2"/>
    <w:uiPriority w:val="99"/>
    <w:rsid w:val="00E16927"/>
    <w:pPr>
      <w:tabs>
        <w:tab w:val="clear" w:pos="709"/>
      </w:tabs>
      <w:spacing w:before="240" w:after="60"/>
      <w:jc w:val="left"/>
    </w:pPr>
    <w:rPr>
      <w:iCs w:val="0"/>
      <w:color w:val="000080"/>
      <w:sz w:val="28"/>
      <w:szCs w:val="20"/>
    </w:rPr>
  </w:style>
  <w:style w:type="paragraph" w:customStyle="1" w:styleId="StyleHeading2Left125cmHanging125cmBefore12pt">
    <w:name w:val="Style Heading 2 + Left:  1.25 cm Hanging:  1.25 cm Before:  12 pt..."/>
    <w:basedOn w:val="Heading2"/>
    <w:uiPriority w:val="99"/>
    <w:rsid w:val="00E16927"/>
    <w:pPr>
      <w:tabs>
        <w:tab w:val="clear" w:pos="709"/>
      </w:tabs>
      <w:spacing w:before="240" w:after="60"/>
      <w:jc w:val="left"/>
    </w:pPr>
    <w:rPr>
      <w:iCs w:val="0"/>
      <w:color w:val="333399"/>
      <w:sz w:val="28"/>
      <w:szCs w:val="20"/>
    </w:rPr>
  </w:style>
  <w:style w:type="paragraph" w:customStyle="1" w:styleId="StyleHeading2Left127cm">
    <w:name w:val="Style Heading 2 + Left:  1.27 cm"/>
    <w:basedOn w:val="Heading2"/>
    <w:uiPriority w:val="99"/>
    <w:rsid w:val="00E16927"/>
    <w:pPr>
      <w:tabs>
        <w:tab w:val="clear" w:pos="709"/>
      </w:tabs>
      <w:spacing w:before="0" w:after="0"/>
      <w:ind w:left="720" w:firstLine="0"/>
      <w:jc w:val="left"/>
    </w:pPr>
    <w:rPr>
      <w:iCs w:val="0"/>
      <w:color w:val="333399"/>
      <w:sz w:val="28"/>
      <w:szCs w:val="20"/>
    </w:rPr>
  </w:style>
  <w:style w:type="character" w:styleId="Emphasis">
    <w:name w:val="Emphasis"/>
    <w:uiPriority w:val="99"/>
    <w:rsid w:val="00E16927"/>
    <w:rPr>
      <w:i/>
      <w:iCs/>
    </w:rPr>
  </w:style>
  <w:style w:type="paragraph" w:customStyle="1" w:styleId="DefaultText">
    <w:name w:val="Default Text"/>
    <w:basedOn w:val="Normal"/>
    <w:uiPriority w:val="99"/>
    <w:rsid w:val="00E16927"/>
    <w:pPr>
      <w:overflowPunct w:val="0"/>
      <w:autoSpaceDE w:val="0"/>
      <w:autoSpaceDN w:val="0"/>
      <w:adjustRightInd w:val="0"/>
      <w:spacing w:before="0" w:after="0"/>
      <w:textAlignment w:val="baseline"/>
    </w:pPr>
    <w:rPr>
      <w:rFonts w:ascii="Times New Roman" w:hAnsi="Times New Roman"/>
      <w:noProof/>
      <w:szCs w:val="20"/>
    </w:rPr>
  </w:style>
  <w:style w:type="paragraph" w:customStyle="1" w:styleId="StyleLinespacingsingle">
    <w:name w:val="Style Line spacing:  single"/>
    <w:basedOn w:val="Normal"/>
    <w:uiPriority w:val="99"/>
    <w:rsid w:val="00E16927"/>
    <w:rPr>
      <w:szCs w:val="20"/>
    </w:rPr>
  </w:style>
  <w:style w:type="paragraph" w:styleId="TOCHeading">
    <w:name w:val="TOC Heading"/>
    <w:basedOn w:val="Heading1"/>
    <w:next w:val="Normal"/>
    <w:uiPriority w:val="39"/>
    <w:unhideWhenUsed/>
    <w:rsid w:val="00E16927"/>
    <w:pPr>
      <w:keepLines/>
      <w:numPr>
        <w:numId w:val="0"/>
      </w:numPr>
      <w:spacing w:before="480" w:after="0" w:line="276" w:lineRule="auto"/>
      <w:outlineLvl w:val="9"/>
    </w:pPr>
    <w:rPr>
      <w:rFonts w:ascii="Cambria" w:hAnsi="Cambria"/>
      <w:b/>
      <w:color w:val="365F91"/>
      <w:kern w:val="0"/>
      <w:sz w:val="28"/>
      <w:lang w:val="en-US"/>
    </w:rPr>
  </w:style>
  <w:style w:type="paragraph" w:customStyle="1" w:styleId="prec4">
    <w:name w:val="prec4"/>
    <w:basedOn w:val="Normal"/>
    <w:uiPriority w:val="99"/>
    <w:rsid w:val="00E16927"/>
    <w:pPr>
      <w:numPr>
        <w:ilvl w:val="3"/>
        <w:numId w:val="13"/>
      </w:numPr>
      <w:spacing w:before="0" w:after="240" w:line="360" w:lineRule="auto"/>
    </w:pPr>
    <w:rPr>
      <w:rFonts w:ascii="Times New Roman" w:hAnsi="Times New Roman"/>
      <w:szCs w:val="20"/>
    </w:rPr>
  </w:style>
  <w:style w:type="paragraph" w:customStyle="1" w:styleId="mrukbody1">
    <w:name w:val="mruk_body1"/>
    <w:basedOn w:val="Normal"/>
    <w:link w:val="mrukbody1Char1"/>
    <w:rsid w:val="00E16927"/>
    <w:pPr>
      <w:spacing w:before="0" w:after="0" w:line="260" w:lineRule="exact"/>
    </w:pPr>
    <w:rPr>
      <w:szCs w:val="20"/>
    </w:rPr>
  </w:style>
  <w:style w:type="character" w:customStyle="1" w:styleId="mrukbody1Char1">
    <w:name w:val="mruk_body1 Char1"/>
    <w:link w:val="mrukbody1"/>
    <w:rsid w:val="00E16927"/>
    <w:rPr>
      <w:rFonts w:ascii="Arial" w:hAnsi="Arial"/>
      <w:sz w:val="22"/>
      <w:lang w:eastAsia="en-US"/>
    </w:rPr>
  </w:style>
  <w:style w:type="paragraph" w:customStyle="1" w:styleId="mrukbullet1">
    <w:name w:val="mruk_bullet1"/>
    <w:basedOn w:val="Normal"/>
    <w:link w:val="mrukbullet1Char"/>
    <w:uiPriority w:val="99"/>
    <w:rsid w:val="00E16927"/>
    <w:pPr>
      <w:numPr>
        <w:numId w:val="14"/>
      </w:numPr>
      <w:spacing w:before="0" w:after="260" w:line="260" w:lineRule="exact"/>
    </w:pPr>
    <w:rPr>
      <w:szCs w:val="20"/>
    </w:rPr>
  </w:style>
  <w:style w:type="character" w:customStyle="1" w:styleId="mrukbullet1Char">
    <w:name w:val="mruk_bullet1 Char"/>
    <w:link w:val="mrukbullet1"/>
    <w:uiPriority w:val="99"/>
    <w:rsid w:val="00E16927"/>
    <w:rPr>
      <w:rFonts w:ascii="Calibri" w:hAnsi="Calibri"/>
      <w:sz w:val="24"/>
      <w:lang w:eastAsia="en-US"/>
    </w:rPr>
  </w:style>
  <w:style w:type="paragraph" w:customStyle="1" w:styleId="ProgressiveTextChar">
    <w:name w:val="Progressive Text Char"/>
    <w:link w:val="ProgressiveTextCharChar"/>
    <w:rsid w:val="00E16927"/>
    <w:pPr>
      <w:spacing w:before="120" w:after="120"/>
      <w:jc w:val="both"/>
    </w:pPr>
    <w:rPr>
      <w:rFonts w:ascii="Arial" w:hAnsi="Arial"/>
      <w:sz w:val="22"/>
      <w:lang w:eastAsia="en-US"/>
    </w:rPr>
  </w:style>
  <w:style w:type="character" w:customStyle="1" w:styleId="ProgressiveTextCharChar">
    <w:name w:val="Progressive Text Char Char"/>
    <w:link w:val="ProgressiveTextChar"/>
    <w:rsid w:val="00E16927"/>
    <w:rPr>
      <w:rFonts w:ascii="Arial" w:hAnsi="Arial"/>
      <w:sz w:val="22"/>
      <w:lang w:eastAsia="en-US"/>
    </w:rPr>
  </w:style>
  <w:style w:type="paragraph" w:customStyle="1" w:styleId="ProgressiveTableText">
    <w:name w:val="Progressive Table Text"/>
    <w:basedOn w:val="ProgressiveTextChar"/>
    <w:uiPriority w:val="99"/>
    <w:rsid w:val="00E16927"/>
    <w:pPr>
      <w:keepLines/>
      <w:spacing w:before="0" w:after="0"/>
    </w:pPr>
    <w:rPr>
      <w:bCs/>
    </w:rPr>
  </w:style>
  <w:style w:type="paragraph" w:customStyle="1" w:styleId="Char2">
    <w:name w:val="Char2"/>
    <w:basedOn w:val="Normal"/>
    <w:uiPriority w:val="99"/>
    <w:rsid w:val="00E1504B"/>
    <w:pPr>
      <w:spacing w:before="0" w:after="160" w:line="240" w:lineRule="exact"/>
      <w:jc w:val="left"/>
    </w:pPr>
    <w:rPr>
      <w:sz w:val="20"/>
      <w:szCs w:val="20"/>
      <w:lang w:val="en-US"/>
    </w:rPr>
  </w:style>
  <w:style w:type="character" w:customStyle="1" w:styleId="CharChar141">
    <w:name w:val="Char Char141"/>
    <w:basedOn w:val="DefaultParagraphFont"/>
    <w:rsid w:val="00E1504B"/>
    <w:rPr>
      <w:rFonts w:ascii="Arial" w:hAnsi="Arial" w:cs="Arial"/>
      <w:b/>
      <w:bCs/>
      <w:iCs/>
      <w:color w:val="008080"/>
      <w:sz w:val="28"/>
      <w:szCs w:val="28"/>
      <w:lang w:val="en-GB" w:eastAsia="en-US" w:bidi="ar-SA"/>
    </w:rPr>
  </w:style>
  <w:style w:type="character" w:customStyle="1" w:styleId="CharChar131">
    <w:name w:val="Char Char131"/>
    <w:basedOn w:val="DefaultParagraphFont"/>
    <w:rsid w:val="00E1504B"/>
    <w:rPr>
      <w:rFonts w:ascii="Arial" w:hAnsi="Arial" w:cs="Arial"/>
      <w:color w:val="008080"/>
      <w:sz w:val="28"/>
      <w:szCs w:val="28"/>
      <w:lang w:eastAsia="en-US"/>
    </w:rPr>
  </w:style>
  <w:style w:type="character" w:customStyle="1" w:styleId="CharChar121">
    <w:name w:val="Char Char121"/>
    <w:basedOn w:val="DefaultParagraphFont"/>
    <w:rsid w:val="00E1504B"/>
    <w:rPr>
      <w:rFonts w:ascii="Arial" w:hAnsi="Arial"/>
      <w:bCs/>
      <w:i/>
      <w:color w:val="008080"/>
      <w:sz w:val="24"/>
      <w:szCs w:val="24"/>
      <w:lang w:eastAsia="en-US"/>
    </w:rPr>
  </w:style>
  <w:style w:type="character" w:customStyle="1" w:styleId="CharChar111">
    <w:name w:val="Char Char111"/>
    <w:basedOn w:val="DefaultParagraphFont"/>
    <w:rsid w:val="00E1504B"/>
    <w:rPr>
      <w:rFonts w:ascii="Arial" w:hAnsi="Arial"/>
      <w:sz w:val="24"/>
      <w:szCs w:val="24"/>
      <w:lang w:eastAsia="en-US"/>
    </w:rPr>
  </w:style>
  <w:style w:type="character" w:customStyle="1" w:styleId="CharChar101">
    <w:name w:val="Char Char101"/>
    <w:basedOn w:val="DefaultParagraphFont"/>
    <w:rsid w:val="00E1504B"/>
    <w:rPr>
      <w:rFonts w:ascii="Arial" w:hAnsi="Arial"/>
      <w:sz w:val="24"/>
      <w:szCs w:val="24"/>
      <w:lang w:eastAsia="en-US"/>
    </w:rPr>
  </w:style>
  <w:style w:type="character" w:customStyle="1" w:styleId="CharChar81">
    <w:name w:val="Char Char81"/>
    <w:basedOn w:val="DefaultParagraphFont"/>
    <w:rsid w:val="00E1504B"/>
    <w:rPr>
      <w:sz w:val="16"/>
      <w:szCs w:val="16"/>
      <w:lang w:eastAsia="en-US"/>
    </w:rPr>
  </w:style>
  <w:style w:type="character" w:customStyle="1" w:styleId="CharChar71">
    <w:name w:val="Char Char71"/>
    <w:basedOn w:val="DefaultParagraphFont"/>
    <w:rsid w:val="00E1504B"/>
    <w:rPr>
      <w:rFonts w:ascii="Arial" w:hAnsi="Arial"/>
      <w:sz w:val="24"/>
      <w:szCs w:val="24"/>
      <w:lang w:eastAsia="en-US"/>
    </w:rPr>
  </w:style>
  <w:style w:type="character" w:customStyle="1" w:styleId="CharChar61">
    <w:name w:val="Char Char61"/>
    <w:basedOn w:val="DefaultParagraphFont"/>
    <w:rsid w:val="00E1504B"/>
    <w:rPr>
      <w:rFonts w:ascii="Arial" w:hAnsi="Arial"/>
      <w:sz w:val="16"/>
      <w:szCs w:val="16"/>
      <w:lang w:eastAsia="en-US"/>
    </w:rPr>
  </w:style>
  <w:style w:type="character" w:customStyle="1" w:styleId="CharChar51">
    <w:name w:val="Char Char51"/>
    <w:basedOn w:val="DefaultParagraphFont"/>
    <w:rsid w:val="00E1504B"/>
    <w:rPr>
      <w:sz w:val="24"/>
      <w:szCs w:val="24"/>
      <w:lang w:eastAsia="en-US"/>
    </w:rPr>
  </w:style>
  <w:style w:type="character" w:customStyle="1" w:styleId="CharChar15">
    <w:name w:val="Char Char15"/>
    <w:basedOn w:val="DefaultParagraphFont"/>
    <w:rsid w:val="00E1504B"/>
    <w:rPr>
      <w:rFonts w:ascii="Arial" w:hAnsi="Arial"/>
      <w:sz w:val="24"/>
      <w:szCs w:val="24"/>
      <w:lang w:eastAsia="en-US"/>
    </w:rPr>
  </w:style>
  <w:style w:type="paragraph" w:customStyle="1" w:styleId="StyleHeading1Char1Teal">
    <w:name w:val="Style Heading 1Char1 + Teal"/>
    <w:basedOn w:val="Heading1"/>
    <w:uiPriority w:val="99"/>
    <w:rsid w:val="00E1504B"/>
    <w:pPr>
      <w:numPr>
        <w:numId w:val="0"/>
      </w:numPr>
      <w:tabs>
        <w:tab w:val="num" w:pos="432"/>
        <w:tab w:val="num" w:pos="928"/>
      </w:tabs>
      <w:spacing w:before="240" w:after="60"/>
      <w:ind w:left="432" w:hanging="432"/>
      <w:jc w:val="left"/>
    </w:pPr>
    <w:rPr>
      <w:rFonts w:cs="Arial"/>
      <w:b/>
      <w:caps/>
      <w:color w:val="008080"/>
      <w:sz w:val="36"/>
    </w:rPr>
  </w:style>
  <w:style w:type="paragraph" w:customStyle="1" w:styleId="Bulletstyle">
    <w:name w:val="Bullet style"/>
    <w:basedOn w:val="Maintext"/>
    <w:link w:val="BulletstyleChar"/>
    <w:rsid w:val="00E1504B"/>
    <w:pPr>
      <w:numPr>
        <w:ilvl w:val="0"/>
        <w:numId w:val="0"/>
      </w:numPr>
      <w:tabs>
        <w:tab w:val="num" w:pos="1134"/>
      </w:tabs>
      <w:ind w:left="1134" w:hanging="425"/>
    </w:pPr>
  </w:style>
  <w:style w:type="character" w:customStyle="1" w:styleId="BulletstyleChar">
    <w:name w:val="Bullet style Char"/>
    <w:basedOn w:val="MaintextChar1"/>
    <w:link w:val="Bulletstyle"/>
    <w:rsid w:val="00E1504B"/>
    <w:rPr>
      <w:rFonts w:ascii="Arial" w:hAnsi="Arial"/>
      <w:sz w:val="24"/>
      <w:szCs w:val="24"/>
      <w:lang w:eastAsia="en-US"/>
    </w:rPr>
  </w:style>
  <w:style w:type="paragraph" w:customStyle="1" w:styleId="CharCharCharCharCharCharCharCharCharChar">
    <w:name w:val="Char Char Char Char Char Char Char Char Char Char"/>
    <w:basedOn w:val="Normal"/>
    <w:uiPriority w:val="99"/>
    <w:rsid w:val="0068512D"/>
    <w:pPr>
      <w:spacing w:before="0" w:line="240" w:lineRule="exact"/>
      <w:jc w:val="left"/>
    </w:pPr>
    <w:rPr>
      <w:rFonts w:ascii="Verdana" w:hAnsi="Verdana"/>
      <w:sz w:val="20"/>
      <w:szCs w:val="20"/>
      <w:lang w:val="en-US"/>
    </w:rPr>
  </w:style>
  <w:style w:type="character" w:customStyle="1" w:styleId="MaintextChar2">
    <w:name w:val="Main text Char2"/>
    <w:rsid w:val="0068512D"/>
    <w:rPr>
      <w:rFonts w:ascii="Arial" w:hAnsi="Arial"/>
      <w:sz w:val="24"/>
      <w:szCs w:val="24"/>
      <w:lang w:eastAsia="en-US"/>
    </w:rPr>
  </w:style>
  <w:style w:type="character" w:customStyle="1" w:styleId="googqs-tidbitgoogqs-tidbit-0">
    <w:name w:val="goog_qs-tidbit goog_qs-tidbit-0"/>
    <w:basedOn w:val="DefaultParagraphFont"/>
    <w:rsid w:val="0068512D"/>
  </w:style>
  <w:style w:type="character" w:customStyle="1" w:styleId="apple-style-span">
    <w:name w:val="apple-style-span"/>
    <w:basedOn w:val="DefaultParagraphFont"/>
    <w:rsid w:val="0068512D"/>
  </w:style>
  <w:style w:type="character" w:customStyle="1" w:styleId="DocumentMapChar1">
    <w:name w:val="Document Map Char1"/>
    <w:basedOn w:val="DefaultParagraphFont"/>
    <w:uiPriority w:val="99"/>
    <w:semiHidden/>
    <w:rsid w:val="0068512D"/>
    <w:rPr>
      <w:rFonts w:ascii="Tahoma" w:hAnsi="Tahoma" w:cs="Tahoma"/>
      <w:sz w:val="16"/>
      <w:szCs w:val="16"/>
      <w:lang w:eastAsia="en-US"/>
    </w:rPr>
  </w:style>
  <w:style w:type="character" w:customStyle="1" w:styleId="EndnoteTextChar1">
    <w:name w:val="Endnote Text Char1"/>
    <w:basedOn w:val="DefaultParagraphFont"/>
    <w:uiPriority w:val="99"/>
    <w:semiHidden/>
    <w:rsid w:val="0068512D"/>
    <w:rPr>
      <w:lang w:eastAsia="en-US"/>
    </w:rPr>
  </w:style>
  <w:style w:type="character" w:customStyle="1" w:styleId="BodyText2Char1">
    <w:name w:val="Body Text 2 Char1"/>
    <w:basedOn w:val="DefaultParagraphFont"/>
    <w:uiPriority w:val="99"/>
    <w:semiHidden/>
    <w:rsid w:val="0068512D"/>
    <w:rPr>
      <w:sz w:val="24"/>
      <w:szCs w:val="24"/>
      <w:lang w:eastAsia="en-US"/>
    </w:rPr>
  </w:style>
  <w:style w:type="paragraph" w:styleId="IntenseQuote">
    <w:name w:val="Intense Quote"/>
    <w:basedOn w:val="Normal"/>
    <w:next w:val="Normal"/>
    <w:link w:val="IntenseQuoteChar"/>
    <w:uiPriority w:val="99"/>
    <w:rsid w:val="0068512D"/>
    <w:pPr>
      <w:pBdr>
        <w:bottom w:val="single" w:sz="4" w:space="4" w:color="4F81BD"/>
      </w:pBdr>
      <w:spacing w:before="200" w:after="280"/>
      <w:ind w:left="936" w:right="936"/>
      <w:jc w:val="left"/>
    </w:pPr>
    <w:rPr>
      <w:b/>
      <w:bCs/>
      <w:i/>
      <w:iCs/>
      <w:color w:val="4F81BD"/>
    </w:rPr>
  </w:style>
  <w:style w:type="character" w:customStyle="1" w:styleId="IntenseQuoteChar">
    <w:name w:val="Intense Quote Char"/>
    <w:basedOn w:val="DefaultParagraphFont"/>
    <w:link w:val="IntenseQuote"/>
    <w:uiPriority w:val="99"/>
    <w:rsid w:val="0068512D"/>
    <w:rPr>
      <w:rFonts w:ascii="Arial" w:hAnsi="Arial"/>
      <w:b/>
      <w:bCs/>
      <w:i/>
      <w:iCs/>
      <w:color w:val="4F81BD"/>
      <w:sz w:val="24"/>
      <w:szCs w:val="24"/>
      <w:lang w:eastAsia="en-US"/>
    </w:rPr>
  </w:style>
  <w:style w:type="paragraph" w:customStyle="1" w:styleId="Bullet0">
    <w:name w:val="Bullet"/>
    <w:basedOn w:val="Maintext"/>
    <w:link w:val="BulletChar0"/>
    <w:uiPriority w:val="99"/>
    <w:rsid w:val="0068512D"/>
    <w:pPr>
      <w:numPr>
        <w:numId w:val="15"/>
      </w:numPr>
    </w:pPr>
  </w:style>
  <w:style w:type="character" w:customStyle="1" w:styleId="BulletChar0">
    <w:name w:val="Bullet Char"/>
    <w:basedOn w:val="MaintextChar2"/>
    <w:link w:val="Bullet0"/>
    <w:uiPriority w:val="99"/>
    <w:rsid w:val="0068512D"/>
    <w:rPr>
      <w:rFonts w:ascii="Calibri" w:hAnsi="Calibri"/>
      <w:sz w:val="24"/>
      <w:szCs w:val="24"/>
      <w:lang w:eastAsia="en-US"/>
    </w:rPr>
  </w:style>
  <w:style w:type="table" w:customStyle="1" w:styleId="arc4table">
    <w:name w:val="arc4 table"/>
    <w:basedOn w:val="TableNormal"/>
    <w:uiPriority w:val="99"/>
    <w:rsid w:val="00F50D34"/>
    <w:pPr>
      <w:spacing w:before="20" w:after="20"/>
    </w:pPr>
    <w:rPr>
      <w:rFonts w:ascii="Arial" w:hAnsi="Arial"/>
      <w:sz w:val="22"/>
    </w:rPr>
    <w:tblP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Pr>
    <w:tcPr>
      <w:vAlign w:val="center"/>
    </w:tcPr>
    <w:tblStylePr w:type="firstRow">
      <w:rPr>
        <w:rFonts w:ascii="Arial" w:hAnsi="Arial"/>
        <w:b/>
        <w:color w:val="FFFFFF" w:themeColor="background1"/>
        <w:sz w:val="22"/>
      </w:rPr>
      <w:tblPr/>
      <w:tcPr>
        <w:shd w:val="clear" w:color="auto" w:fill="009999"/>
      </w:tcPr>
    </w:tblStylePr>
  </w:style>
  <w:style w:type="paragraph" w:customStyle="1" w:styleId="bulletlevel2">
    <w:name w:val="bullet level 2"/>
    <w:basedOn w:val="ListParagraph"/>
    <w:link w:val="bulletlevel2Char"/>
    <w:uiPriority w:val="99"/>
    <w:qFormat/>
    <w:rsid w:val="00A16AF7"/>
    <w:pPr>
      <w:numPr>
        <w:ilvl w:val="1"/>
        <w:numId w:val="17"/>
      </w:numPr>
      <w:shd w:val="clear" w:color="auto" w:fill="FFFFFF"/>
      <w:ind w:left="1434" w:hanging="357"/>
    </w:pPr>
    <w:rPr>
      <w:rFonts w:cs="Arial"/>
      <w:bCs/>
      <w:color w:val="000000"/>
      <w:lang w:eastAsia="en-GB"/>
    </w:rPr>
  </w:style>
  <w:style w:type="character" w:customStyle="1" w:styleId="bulletlevel2Char">
    <w:name w:val="bullet level 2 Char"/>
    <w:link w:val="bulletlevel2"/>
    <w:uiPriority w:val="99"/>
    <w:rsid w:val="00A16AF7"/>
    <w:rPr>
      <w:rFonts w:ascii="Calibri" w:hAnsi="Calibri" w:cs="Arial"/>
      <w:bCs/>
      <w:color w:val="000000"/>
      <w:sz w:val="24"/>
      <w:szCs w:val="24"/>
      <w:shd w:val="clear" w:color="auto" w:fill="FFFFFF"/>
    </w:rPr>
  </w:style>
  <w:style w:type="character" w:customStyle="1" w:styleId="Heading1Char8">
    <w:name w:val="Heading 1 Char8"/>
    <w:aliases w:val="Heading 1 New Char8,Char1 Char8,Section Char8,Chapter Hdg Char8,Economics Section Char8,New Section Char8,Economics Section Heading Char8,My Heading 1 Char8,Lev 1 Char8,Section Heading Char8,(Alt 1) Char8,Numbered - 1 Char8,1 ghost Cha"/>
    <w:basedOn w:val="DefaultParagraphFont"/>
    <w:uiPriority w:val="99"/>
    <w:locked/>
    <w:rsid w:val="0031285F"/>
    <w:rPr>
      <w:rFonts w:ascii="Cambria" w:hAnsi="Cambria" w:cs="Times New Roman"/>
      <w:b/>
      <w:bCs/>
      <w:kern w:val="32"/>
      <w:sz w:val="32"/>
      <w:szCs w:val="32"/>
      <w:lang w:eastAsia="en-US"/>
    </w:rPr>
  </w:style>
  <w:style w:type="character" w:customStyle="1" w:styleId="Heading1Char7">
    <w:name w:val="Heading 1 Char7"/>
    <w:aliases w:val="Heading 1 New Char7,Char1 Char7,Section Char7,Chapter Hdg Char7,Economics Section Char7,New Section Char7,Economics Section Heading Char7,My Heading 1 Char7,Lev 1 Char7,Section Heading Char7,(Alt 1) Char7,Numbered - 1 Char7,1 ghost Cha6"/>
    <w:basedOn w:val="DefaultParagraphFont"/>
    <w:uiPriority w:val="99"/>
    <w:locked/>
    <w:rsid w:val="0031285F"/>
    <w:rPr>
      <w:rFonts w:ascii="Cambria" w:hAnsi="Cambria" w:cs="Times New Roman"/>
      <w:b/>
      <w:bCs/>
      <w:kern w:val="32"/>
      <w:sz w:val="32"/>
      <w:szCs w:val="32"/>
      <w:lang w:eastAsia="en-US"/>
    </w:rPr>
  </w:style>
  <w:style w:type="character" w:customStyle="1" w:styleId="Heading1Char6">
    <w:name w:val="Heading 1 Char6"/>
    <w:aliases w:val="Heading 1 New Char6,Char1 Char6,Section Char6,Chapter Hdg Char6,Economics Section Char6,New Section Char6,Economics Section Heading Char6,My Heading 1 Char6,Lev 1 Char6,Section Heading Char6,(Alt 1) Char6,Numbered - 1 Char6,1 ghost Cha5"/>
    <w:basedOn w:val="DefaultParagraphFont"/>
    <w:uiPriority w:val="99"/>
    <w:locked/>
    <w:rsid w:val="0031285F"/>
    <w:rPr>
      <w:rFonts w:ascii="Cambria" w:hAnsi="Cambria" w:cs="Times New Roman"/>
      <w:b/>
      <w:bCs/>
      <w:kern w:val="32"/>
      <w:sz w:val="32"/>
      <w:szCs w:val="32"/>
      <w:lang w:eastAsia="en-US"/>
    </w:rPr>
  </w:style>
  <w:style w:type="character" w:customStyle="1" w:styleId="Heading1Char5">
    <w:name w:val="Heading 1 Char5"/>
    <w:aliases w:val="Heading 1 New Char5,Char1 Char5,Section Char5,Chapter Hdg Char5,Economics Section Char5,New Section Char5,Economics Section Heading Char5,My Heading 1 Char5,Lev 1 Char5,Section Heading Char5,(Alt 1) Char5,Numbered - 1 Char5,1 ghost Cha4"/>
    <w:basedOn w:val="DefaultParagraphFont"/>
    <w:uiPriority w:val="99"/>
    <w:locked/>
    <w:rsid w:val="0031285F"/>
    <w:rPr>
      <w:rFonts w:ascii="Cambria" w:hAnsi="Cambria" w:cs="Times New Roman"/>
      <w:b/>
      <w:bCs/>
      <w:kern w:val="32"/>
      <w:sz w:val="32"/>
      <w:szCs w:val="32"/>
      <w:lang w:eastAsia="en-US"/>
    </w:rPr>
  </w:style>
  <w:style w:type="character" w:customStyle="1" w:styleId="Heading1Char4">
    <w:name w:val="Heading 1 Char4"/>
    <w:aliases w:val="Heading 1 New Char4,Char1 Char4,Section Char4,Chapter Hdg Char4,Economics Section Char4,New Section Char4,Economics Section Heading Char4,My Heading 1 Char4,Lev 1 Char4,Section Heading Char4,(Alt 1) Char4,Numbered - 1 Char4,1 ghost Cha3"/>
    <w:basedOn w:val="DefaultParagraphFont"/>
    <w:uiPriority w:val="99"/>
    <w:locked/>
    <w:rsid w:val="0031285F"/>
    <w:rPr>
      <w:rFonts w:ascii="Cambria" w:hAnsi="Cambria" w:cs="Times New Roman"/>
      <w:b/>
      <w:bCs/>
      <w:kern w:val="32"/>
      <w:sz w:val="32"/>
      <w:szCs w:val="32"/>
      <w:lang w:eastAsia="en-US"/>
    </w:rPr>
  </w:style>
  <w:style w:type="character" w:customStyle="1" w:styleId="Heading1Char3">
    <w:name w:val="Heading 1 Char3"/>
    <w:aliases w:val="Heading 1 New Char3,Char1 Char3,Section Char3,Chapter Hdg Char3,Economics Section Char3,New Section Char3,Economics Section Heading Char3,My Heading 1 Char3,Lev 1 Char3,Section Heading Char3,(Alt 1) Char3,Numbered - 1 Char3,1 ghost Cha2"/>
    <w:basedOn w:val="DefaultParagraphFont"/>
    <w:uiPriority w:val="99"/>
    <w:locked/>
    <w:rsid w:val="0031285F"/>
    <w:rPr>
      <w:rFonts w:ascii="Cambria" w:hAnsi="Cambria" w:cs="Times New Roman"/>
      <w:b/>
      <w:bCs/>
      <w:kern w:val="32"/>
      <w:sz w:val="32"/>
      <w:szCs w:val="32"/>
      <w:lang w:eastAsia="en-US"/>
    </w:rPr>
  </w:style>
  <w:style w:type="character" w:customStyle="1" w:styleId="Heading1Char2">
    <w:name w:val="Heading 1 Char2"/>
    <w:aliases w:val="Heading 1 New Char2,Char1 Char2,Section Char2,Chapter Hdg Char2,Economics Section Char2,New Section Char2,Economics Section Heading Char2,My Heading 1 Char2,Lev 1 Char2,Section Heading Char2,(Alt 1) Char2,Numbered - 1 Char2,1 ghost Cha1"/>
    <w:basedOn w:val="DefaultParagraphFont"/>
    <w:uiPriority w:val="99"/>
    <w:locked/>
    <w:rsid w:val="0031285F"/>
    <w:rPr>
      <w:rFonts w:ascii="Cambria" w:hAnsi="Cambria" w:cs="Times New Roman"/>
      <w:b/>
      <w:bCs/>
      <w:kern w:val="32"/>
      <w:sz w:val="32"/>
      <w:szCs w:val="32"/>
      <w:lang w:eastAsia="en-US"/>
    </w:rPr>
  </w:style>
  <w:style w:type="character" w:customStyle="1" w:styleId="Heading1Char1">
    <w:name w:val="Heading 1 Char1"/>
    <w:aliases w:val="Heading 1 New Char1,Char1 Char1,Section Char1,Chapter Hdg Char1,Economics Section Char1,New Section Char1,Economics Section Heading Char1,My Heading 1 Char1,Lev 1 Char1,Section Heading Char1,(Alt 1) Char1,Numbered - 1 Char1,1 ghost Char1"/>
    <w:locked/>
    <w:rsid w:val="0031285F"/>
    <w:rPr>
      <w:rFonts w:ascii="Arial" w:hAnsi="Arial"/>
      <w:color w:val="009999"/>
      <w:kern w:val="32"/>
      <w:sz w:val="28"/>
      <w:lang w:eastAsia="en-US"/>
    </w:rPr>
  </w:style>
  <w:style w:type="paragraph" w:styleId="z-TopofForm">
    <w:name w:val="HTML Top of Form"/>
    <w:basedOn w:val="Normal"/>
    <w:next w:val="Normal"/>
    <w:link w:val="z-TopofFormChar"/>
    <w:hidden/>
    <w:uiPriority w:val="99"/>
    <w:semiHidden/>
    <w:rsid w:val="0031285F"/>
    <w:pPr>
      <w:pBdr>
        <w:bottom w:val="single" w:sz="6" w:space="1" w:color="auto"/>
      </w:pBdr>
      <w:spacing w:before="0" w:after="0"/>
      <w:jc w:val="center"/>
    </w:pPr>
    <w:rPr>
      <w:rFonts w:cs="Arial"/>
      <w:vanish/>
      <w:sz w:val="16"/>
      <w:szCs w:val="16"/>
      <w:lang w:eastAsia="en-GB"/>
    </w:rPr>
  </w:style>
  <w:style w:type="character" w:customStyle="1" w:styleId="z-TopofFormChar">
    <w:name w:val="z-Top of Form Char"/>
    <w:basedOn w:val="DefaultParagraphFont"/>
    <w:link w:val="z-TopofForm"/>
    <w:uiPriority w:val="99"/>
    <w:semiHidden/>
    <w:rsid w:val="0031285F"/>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31285F"/>
    <w:pPr>
      <w:pBdr>
        <w:top w:val="single" w:sz="6" w:space="1" w:color="auto"/>
      </w:pBdr>
      <w:spacing w:before="0" w:after="0"/>
      <w:jc w:val="center"/>
    </w:pPr>
    <w:rPr>
      <w:rFonts w:cs="Arial"/>
      <w:vanish/>
      <w:sz w:val="16"/>
      <w:szCs w:val="16"/>
      <w:lang w:eastAsia="en-GB"/>
    </w:rPr>
  </w:style>
  <w:style w:type="character" w:customStyle="1" w:styleId="z-BottomofFormChar">
    <w:name w:val="z-Bottom of Form Char"/>
    <w:basedOn w:val="DefaultParagraphFont"/>
    <w:link w:val="z-BottomofForm"/>
    <w:uiPriority w:val="99"/>
    <w:semiHidden/>
    <w:rsid w:val="0031285F"/>
    <w:rPr>
      <w:rFonts w:ascii="Arial" w:hAnsi="Arial" w:cs="Arial"/>
      <w:vanish/>
      <w:sz w:val="16"/>
      <w:szCs w:val="16"/>
    </w:rPr>
  </w:style>
  <w:style w:type="paragraph" w:customStyle="1" w:styleId="reporttext0">
    <w:name w:val="report text"/>
    <w:basedOn w:val="Maintext"/>
    <w:link w:val="reporttextChar0"/>
    <w:rsid w:val="0031285F"/>
    <w:pPr>
      <w:numPr>
        <w:ilvl w:val="0"/>
        <w:numId w:val="0"/>
      </w:numPr>
      <w:tabs>
        <w:tab w:val="num" w:pos="709"/>
      </w:tabs>
      <w:ind w:left="709" w:hanging="709"/>
    </w:pPr>
    <w:rPr>
      <w:sz w:val="20"/>
      <w:szCs w:val="20"/>
    </w:rPr>
  </w:style>
  <w:style w:type="character" w:customStyle="1" w:styleId="reporttextChar0">
    <w:name w:val="report text Char"/>
    <w:link w:val="reporttext0"/>
    <w:locked/>
    <w:rsid w:val="0031285F"/>
    <w:rPr>
      <w:rFonts w:ascii="Arial" w:hAnsi="Arial"/>
      <w:lang w:eastAsia="en-US"/>
    </w:rPr>
  </w:style>
  <w:style w:type="character" w:customStyle="1" w:styleId="Heading5Char2">
    <w:name w:val="Heading 5 Char2"/>
    <w:aliases w:val="Do Not Use 5 Char1,Economics Bullets Char1,paragraph Char1,Bold &amp; Italic Char2,Paragraph Text Char1,Lower Case Char3,Lower Case Char Char1,Heading 5 Char1 Char1,Lower Case Char1 Char1,Bold &amp; Italic Char1 Char1"/>
    <w:basedOn w:val="DefaultParagraphFont"/>
    <w:semiHidden/>
    <w:rsid w:val="00BA12A2"/>
    <w:rPr>
      <w:rFonts w:asciiTheme="majorHAnsi" w:eastAsiaTheme="majorEastAsia" w:hAnsiTheme="majorHAnsi" w:cstheme="majorBidi"/>
      <w:color w:val="243F60" w:themeColor="accent1" w:themeShade="7F"/>
      <w:sz w:val="24"/>
      <w:szCs w:val="24"/>
      <w:lang w:eastAsia="en-US"/>
    </w:rPr>
  </w:style>
  <w:style w:type="character" w:customStyle="1" w:styleId="Heading6Char1">
    <w:name w:val="Heading 6 Char1"/>
    <w:aliases w:val="Do Not Use 6 Char1,Economics Bullets 2 Char1,level 1 bullet Char1,Legal Level 1. Char1,level 1 bullet 1 Char1,level 1 bullet Char Char Char Char1,level 1 bullet 1 Char Char Char Char1,Heading 61 Char"/>
    <w:basedOn w:val="DefaultParagraphFont"/>
    <w:semiHidden/>
    <w:rsid w:val="00BA12A2"/>
    <w:rPr>
      <w:rFonts w:asciiTheme="majorHAnsi" w:eastAsiaTheme="majorEastAsia" w:hAnsiTheme="majorHAnsi" w:cstheme="majorBidi"/>
      <w:i/>
      <w:iCs/>
      <w:color w:val="243F60" w:themeColor="accent1" w:themeShade="7F"/>
      <w:sz w:val="24"/>
      <w:szCs w:val="24"/>
      <w:lang w:eastAsia="en-US"/>
    </w:rPr>
  </w:style>
  <w:style w:type="character" w:styleId="HTMLTypewriter">
    <w:name w:val="HTML Typewriter"/>
    <w:semiHidden/>
    <w:unhideWhenUsed/>
    <w:rsid w:val="00BA12A2"/>
    <w:rPr>
      <w:rFonts w:ascii="Courier New" w:eastAsia="Times New Roman" w:hAnsi="Courier New" w:cs="Courier New" w:hint="default"/>
      <w:sz w:val="20"/>
      <w:szCs w:val="20"/>
    </w:rPr>
  </w:style>
  <w:style w:type="character" w:customStyle="1" w:styleId="Heading7Char1">
    <w:name w:val="Heading 7 Char1"/>
    <w:aliases w:val="Do Not Use 7 Char1,Economics List (i) Char1,level 2 bullets Char1,Legal Level 1.1. Char1"/>
    <w:basedOn w:val="DefaultParagraphFont"/>
    <w:semiHidden/>
    <w:rsid w:val="00BA12A2"/>
    <w:rPr>
      <w:rFonts w:asciiTheme="majorHAnsi" w:eastAsiaTheme="majorEastAsia" w:hAnsiTheme="majorHAnsi" w:cstheme="majorBidi"/>
      <w:i/>
      <w:iCs/>
      <w:color w:val="404040" w:themeColor="text1" w:themeTint="BF"/>
      <w:sz w:val="24"/>
      <w:szCs w:val="24"/>
      <w:lang w:eastAsia="en-US"/>
    </w:rPr>
  </w:style>
  <w:style w:type="character" w:customStyle="1" w:styleId="Heading8Char1">
    <w:name w:val="Heading 8 Char1"/>
    <w:aliases w:val="Do Not Use 8 Char1,Economics List (a) Char1,level 3 bullets Char1,Legal Level 1.1.1. Char1,Bullet 3 Char1"/>
    <w:basedOn w:val="DefaultParagraphFont"/>
    <w:semiHidden/>
    <w:rsid w:val="00BA12A2"/>
    <w:rPr>
      <w:rFonts w:asciiTheme="majorHAnsi" w:eastAsiaTheme="majorEastAsia" w:hAnsiTheme="majorHAnsi" w:cstheme="majorBidi"/>
      <w:color w:val="404040" w:themeColor="text1" w:themeTint="BF"/>
      <w:lang w:eastAsia="en-US"/>
    </w:rPr>
  </w:style>
  <w:style w:type="character" w:customStyle="1" w:styleId="Heading9Char1">
    <w:name w:val="Heading 9 Char1"/>
    <w:aliases w:val="Do Not Use 9 Char1,Legal Level 1.1.1.1. Char1"/>
    <w:basedOn w:val="DefaultParagraphFont"/>
    <w:semiHidden/>
    <w:rsid w:val="00BA12A2"/>
    <w:rPr>
      <w:rFonts w:asciiTheme="majorHAnsi" w:eastAsiaTheme="majorEastAsia" w:hAnsiTheme="majorHAnsi" w:cstheme="majorBidi"/>
      <w:i/>
      <w:iCs/>
      <w:color w:val="404040" w:themeColor="text1" w:themeTint="BF"/>
      <w:lang w:eastAsia="en-US"/>
    </w:rPr>
  </w:style>
  <w:style w:type="character" w:customStyle="1" w:styleId="FootnoteTextChar1">
    <w:name w:val="Footnote Text Char1"/>
    <w:aliases w:val="EKOS Footnote Text Char1"/>
    <w:basedOn w:val="DefaultParagraphFont"/>
    <w:uiPriority w:val="99"/>
    <w:semiHidden/>
    <w:rsid w:val="00BA12A2"/>
    <w:rPr>
      <w:rFonts w:ascii="Arial" w:hAnsi="Arial"/>
      <w:lang w:eastAsia="en-US"/>
    </w:rPr>
  </w:style>
  <w:style w:type="paragraph" w:styleId="Title">
    <w:name w:val="Title"/>
    <w:basedOn w:val="Normal"/>
    <w:link w:val="TitleChar"/>
    <w:uiPriority w:val="99"/>
    <w:rsid w:val="00BA12A2"/>
    <w:pPr>
      <w:spacing w:before="0" w:after="0"/>
      <w:jc w:val="center"/>
    </w:pPr>
    <w:rPr>
      <w:rFonts w:ascii="Times New Roman" w:hAnsi="Times New Roman"/>
      <w:b/>
      <w:bCs/>
      <w:u w:val="single"/>
    </w:rPr>
  </w:style>
  <w:style w:type="character" w:customStyle="1" w:styleId="TitleChar">
    <w:name w:val="Title Char"/>
    <w:basedOn w:val="DefaultParagraphFont"/>
    <w:link w:val="Title"/>
    <w:uiPriority w:val="99"/>
    <w:rsid w:val="00BA12A2"/>
    <w:rPr>
      <w:b/>
      <w:bCs/>
      <w:sz w:val="24"/>
      <w:szCs w:val="24"/>
      <w:u w:val="single"/>
      <w:lang w:eastAsia="en-US"/>
    </w:rPr>
  </w:style>
  <w:style w:type="table" w:styleId="ColorfulList-Accent1">
    <w:name w:val="Colorful List Accent 1"/>
    <w:basedOn w:val="TableNormal"/>
    <w:uiPriority w:val="72"/>
    <w:rsid w:val="00BA12A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margin">
    <w:name w:val="no-margin"/>
    <w:basedOn w:val="Normal"/>
    <w:uiPriority w:val="99"/>
    <w:rsid w:val="00BA12A2"/>
    <w:pPr>
      <w:spacing w:before="75" w:after="150"/>
      <w:jc w:val="left"/>
    </w:pPr>
    <w:rPr>
      <w:rFonts w:cs="Arial"/>
      <w:color w:val="333333"/>
      <w:sz w:val="18"/>
      <w:szCs w:val="18"/>
      <w:lang w:eastAsia="en-GB"/>
    </w:rPr>
  </w:style>
  <w:style w:type="paragraph" w:customStyle="1" w:styleId="ecxmsolistparagraph">
    <w:name w:val="ecxmsolistparagraph"/>
    <w:basedOn w:val="Normal"/>
    <w:uiPriority w:val="99"/>
    <w:rsid w:val="00BA12A2"/>
    <w:pPr>
      <w:spacing w:before="0" w:after="324"/>
      <w:jc w:val="left"/>
    </w:pPr>
    <w:rPr>
      <w:rFonts w:ascii="Times New Roman" w:hAnsi="Times New Roman"/>
      <w:lang w:eastAsia="en-GB"/>
    </w:rPr>
  </w:style>
  <w:style w:type="paragraph" w:customStyle="1" w:styleId="ecxmsonormal">
    <w:name w:val="ecxmsonormal"/>
    <w:basedOn w:val="Normal"/>
    <w:uiPriority w:val="99"/>
    <w:rsid w:val="00BA12A2"/>
    <w:pPr>
      <w:spacing w:before="0" w:after="324"/>
      <w:jc w:val="left"/>
    </w:pPr>
    <w:rPr>
      <w:rFonts w:ascii="Times New Roman" w:hAnsi="Times New Roman"/>
      <w:lang w:eastAsia="en-GB"/>
    </w:rPr>
  </w:style>
  <w:style w:type="paragraph" w:customStyle="1" w:styleId="1">
    <w:name w:val="1"/>
    <w:basedOn w:val="Normal"/>
    <w:uiPriority w:val="99"/>
    <w:rsid w:val="00BA12A2"/>
    <w:pPr>
      <w:spacing w:before="0" w:line="240" w:lineRule="exact"/>
      <w:jc w:val="left"/>
    </w:pPr>
    <w:rPr>
      <w:rFonts w:ascii="Verdana" w:hAnsi="Verdana"/>
      <w:sz w:val="20"/>
      <w:szCs w:val="20"/>
      <w:lang w:val="en-US"/>
    </w:rPr>
  </w:style>
  <w:style w:type="paragraph" w:customStyle="1" w:styleId="StyleJustified">
    <w:name w:val="Style Justified"/>
    <w:basedOn w:val="Normal"/>
    <w:uiPriority w:val="99"/>
    <w:rsid w:val="00BA12A2"/>
    <w:pPr>
      <w:numPr>
        <w:ilvl w:val="1"/>
        <w:numId w:val="18"/>
      </w:numPr>
      <w:ind w:left="0" w:firstLine="0"/>
    </w:pPr>
    <w:rPr>
      <w:sz w:val="22"/>
      <w:szCs w:val="20"/>
    </w:rPr>
  </w:style>
  <w:style w:type="paragraph" w:customStyle="1" w:styleId="Min">
    <w:name w:val="Min"/>
    <w:basedOn w:val="Normal"/>
    <w:uiPriority w:val="99"/>
    <w:rsid w:val="00BA12A2"/>
    <w:pPr>
      <w:autoSpaceDE w:val="0"/>
      <w:autoSpaceDN w:val="0"/>
      <w:adjustRightInd w:val="0"/>
      <w:ind w:left="720" w:hanging="720"/>
    </w:pPr>
    <w:rPr>
      <w:rFonts w:ascii="Helvetica" w:hAnsi="Helvetica" w:cs="Helvetica"/>
    </w:rPr>
  </w:style>
  <w:style w:type="paragraph" w:customStyle="1" w:styleId="Main">
    <w:name w:val="Main#"/>
    <w:basedOn w:val="Maintext"/>
    <w:uiPriority w:val="99"/>
    <w:rsid w:val="00BA12A2"/>
    <w:pPr>
      <w:numPr>
        <w:ilvl w:val="0"/>
        <w:numId w:val="0"/>
      </w:numPr>
      <w:tabs>
        <w:tab w:val="num" w:pos="709"/>
      </w:tabs>
      <w:ind w:left="720" w:hanging="720"/>
    </w:pPr>
  </w:style>
  <w:style w:type="paragraph" w:customStyle="1" w:styleId="Nor">
    <w:name w:val="Nor#"/>
    <w:basedOn w:val="Normal"/>
    <w:uiPriority w:val="99"/>
    <w:rsid w:val="00BA12A2"/>
    <w:rPr>
      <w:sz w:val="22"/>
    </w:rPr>
  </w:style>
  <w:style w:type="paragraph" w:customStyle="1" w:styleId="CM70">
    <w:name w:val="CM70"/>
    <w:basedOn w:val="Default"/>
    <w:next w:val="Default"/>
    <w:uiPriority w:val="99"/>
    <w:rsid w:val="00BA12A2"/>
    <w:rPr>
      <w:rFonts w:ascii="Gill Sans MT Pro Medium" w:eastAsia="Times New Roman" w:hAnsi="Gill Sans MT Pro Medium" w:cs="Times New Roman"/>
      <w:color w:val="auto"/>
      <w:lang w:val="en-US" w:eastAsia="en-US"/>
    </w:rPr>
  </w:style>
  <w:style w:type="paragraph" w:customStyle="1" w:styleId="Bullets0">
    <w:name w:val="Bullets"/>
    <w:basedOn w:val="Normal"/>
    <w:uiPriority w:val="99"/>
    <w:rsid w:val="00BA12A2"/>
    <w:pPr>
      <w:tabs>
        <w:tab w:val="num" w:pos="709"/>
      </w:tabs>
      <w:spacing w:before="0" w:after="0"/>
      <w:ind w:left="709" w:hanging="709"/>
    </w:pPr>
  </w:style>
  <w:style w:type="paragraph" w:customStyle="1" w:styleId="NoParagraphStyle">
    <w:name w:val="[No Paragraph Style]"/>
    <w:uiPriority w:val="99"/>
    <w:rsid w:val="00BA12A2"/>
    <w:pPr>
      <w:autoSpaceDE w:val="0"/>
      <w:autoSpaceDN w:val="0"/>
      <w:adjustRightInd w:val="0"/>
      <w:spacing w:line="288" w:lineRule="auto"/>
    </w:pPr>
    <w:rPr>
      <w:color w:val="000000"/>
      <w:sz w:val="24"/>
      <w:szCs w:val="24"/>
      <w:lang w:eastAsia="en-US"/>
    </w:rPr>
  </w:style>
  <w:style w:type="paragraph" w:customStyle="1" w:styleId="DocumentTitle">
    <w:name w:val="Document Title"/>
    <w:uiPriority w:val="99"/>
    <w:rsid w:val="00BA12A2"/>
    <w:pPr>
      <w:spacing w:line="860" w:lineRule="exact"/>
    </w:pPr>
    <w:rPr>
      <w:rFonts w:ascii="Arial" w:hAnsi="Arial"/>
      <w:b/>
      <w:color w:val="00B3BE"/>
      <w:sz w:val="80"/>
      <w:lang w:eastAsia="en-US"/>
    </w:rPr>
  </w:style>
  <w:style w:type="paragraph" w:customStyle="1" w:styleId="naib">
    <w:name w:val="naib"/>
    <w:basedOn w:val="Normal"/>
    <w:uiPriority w:val="99"/>
    <w:rsid w:val="00BA12A2"/>
    <w:rPr>
      <w:sz w:val="22"/>
    </w:rPr>
  </w:style>
  <w:style w:type="paragraph" w:customStyle="1" w:styleId="TableContents">
    <w:name w:val="Table Contents"/>
    <w:basedOn w:val="Normal"/>
    <w:uiPriority w:val="99"/>
    <w:rsid w:val="00BA12A2"/>
    <w:pPr>
      <w:widowControl w:val="0"/>
      <w:suppressLineNumbers/>
      <w:suppressAutoHyphens/>
      <w:spacing w:before="0" w:after="0"/>
      <w:jc w:val="left"/>
    </w:pPr>
    <w:rPr>
      <w:rFonts w:ascii="Times New Roman" w:eastAsia="Arial Unicode MS" w:hAnsi="Times New Roman" w:cs="Arial Unicode MS"/>
      <w:kern w:val="2"/>
      <w:lang w:eastAsia="zh-CN" w:bidi="hi-IN"/>
    </w:rPr>
  </w:style>
  <w:style w:type="paragraph" w:customStyle="1" w:styleId="Masin">
    <w:name w:val="Masin"/>
    <w:basedOn w:val="Normal"/>
    <w:uiPriority w:val="99"/>
    <w:rsid w:val="00BA12A2"/>
  </w:style>
  <w:style w:type="character" w:customStyle="1" w:styleId="ColorfulList-Accent1Char">
    <w:name w:val="Colorful List - Accent 1 Char"/>
    <w:link w:val="ColorfulList-Accent11"/>
    <w:uiPriority w:val="34"/>
    <w:locked/>
    <w:rsid w:val="00BA12A2"/>
    <w:rPr>
      <w:rFonts w:ascii="Arial" w:hAnsi="Arial" w:cs="Arial"/>
      <w:sz w:val="24"/>
      <w:szCs w:val="24"/>
      <w:lang w:eastAsia="en-US"/>
    </w:rPr>
  </w:style>
  <w:style w:type="paragraph" w:customStyle="1" w:styleId="ColorfulList-Accent11">
    <w:name w:val="Colorful List - Accent 11"/>
    <w:basedOn w:val="Normal"/>
    <w:link w:val="ColorfulList-Accent1Char"/>
    <w:uiPriority w:val="34"/>
    <w:rsid w:val="00BA12A2"/>
    <w:pPr>
      <w:ind w:left="720"/>
      <w:jc w:val="left"/>
    </w:pPr>
    <w:rPr>
      <w:rFonts w:cs="Arial"/>
    </w:rPr>
  </w:style>
  <w:style w:type="paragraph" w:customStyle="1" w:styleId="ColorfulShading-Accent11">
    <w:name w:val="Colorful Shading - Accent 11"/>
    <w:uiPriority w:val="99"/>
    <w:semiHidden/>
    <w:rsid w:val="00BA12A2"/>
    <w:rPr>
      <w:rFonts w:ascii="Arial" w:hAnsi="Arial"/>
      <w:sz w:val="24"/>
      <w:szCs w:val="24"/>
      <w:lang w:eastAsia="en-US"/>
    </w:rPr>
  </w:style>
  <w:style w:type="paragraph" w:customStyle="1" w:styleId="NoSpacing1">
    <w:name w:val="No Spacing1"/>
    <w:uiPriority w:val="1"/>
    <w:rsid w:val="00BA12A2"/>
    <w:rPr>
      <w:rFonts w:ascii="Calibri" w:hAnsi="Calibri"/>
      <w:sz w:val="22"/>
      <w:szCs w:val="22"/>
      <w:lang w:val="en-US" w:eastAsia="en-US"/>
    </w:rPr>
  </w:style>
  <w:style w:type="character" w:customStyle="1" w:styleId="bullet2Char">
    <w:name w:val="bullet2 Char"/>
    <w:link w:val="bullet2"/>
    <w:uiPriority w:val="99"/>
    <w:locked/>
    <w:rsid w:val="00BA12A2"/>
    <w:rPr>
      <w:rFonts w:ascii="Calibri" w:hAnsi="Calibri"/>
      <w:sz w:val="24"/>
      <w:szCs w:val="24"/>
      <w:lang w:eastAsia="en-US"/>
    </w:rPr>
  </w:style>
  <w:style w:type="paragraph" w:customStyle="1" w:styleId="bullet2">
    <w:name w:val="bullet2"/>
    <w:basedOn w:val="Normal"/>
    <w:link w:val="bullet2Char"/>
    <w:uiPriority w:val="99"/>
    <w:rsid w:val="00BA12A2"/>
    <w:pPr>
      <w:numPr>
        <w:ilvl w:val="1"/>
        <w:numId w:val="19"/>
      </w:numPr>
      <w:ind w:left="1794" w:hanging="357"/>
    </w:pPr>
  </w:style>
  <w:style w:type="table" w:styleId="MediumGrid2">
    <w:name w:val="Medium Grid 2"/>
    <w:basedOn w:val="TableNormal"/>
    <w:link w:val="MediumGrid2Char1"/>
    <w:uiPriority w:val="1"/>
    <w:rsid w:val="00BA12A2"/>
    <w:rPr>
      <w:rFonts w:ascii="Calibri" w:hAnsi="Calibr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1">
    <w:name w:val="Medium Grid 2 Char1"/>
    <w:link w:val="MediumGrid2"/>
    <w:uiPriority w:val="1"/>
    <w:locked/>
    <w:rsid w:val="00BA12A2"/>
    <w:rPr>
      <w:rFonts w:ascii="Calibri" w:hAnsi="Calibri" w:hint="default"/>
      <w:sz w:val="22"/>
      <w:szCs w:val="22"/>
      <w:lang w:val="en-US" w:eastAsia="en-US" w:bidi="ar-SA"/>
    </w:rPr>
  </w:style>
  <w:style w:type="character" w:customStyle="1" w:styleId="ColorfulList-Accent1Char1">
    <w:name w:val="Colorful List - Accent 1 Char1"/>
    <w:aliases w:val="Main-bullets Char"/>
    <w:uiPriority w:val="34"/>
    <w:rsid w:val="00BA12A2"/>
    <w:rPr>
      <w:rFonts w:ascii="Arial" w:hAnsi="Arial" w:cs="Arial" w:hint="default"/>
      <w:sz w:val="24"/>
      <w:szCs w:val="24"/>
      <w:lang w:eastAsia="en-US"/>
    </w:rPr>
  </w:style>
  <w:style w:type="table" w:styleId="LightShading-Accent2">
    <w:name w:val="Light Shading Accent 2"/>
    <w:basedOn w:val="TableNormal"/>
    <w:link w:val="LightShading-Accent2Char"/>
    <w:uiPriority w:val="30"/>
    <w:rsid w:val="00BA12A2"/>
    <w:rPr>
      <w:rFonts w:ascii="Arial" w:hAnsi="Arial" w:cs="Arial"/>
      <w:b/>
      <w:bCs/>
      <w:i/>
      <w:iCs/>
      <w:color w:val="4F81BD"/>
      <w:sz w:val="24"/>
      <w:szCs w:val="24"/>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Autospacing="0" w:afterLines="0" w:afterAutospacing="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LightShading-Accent2Char">
    <w:name w:val="Light Shading - Accent 2 Char"/>
    <w:link w:val="LightShading-Accent2"/>
    <w:uiPriority w:val="30"/>
    <w:locked/>
    <w:rsid w:val="00BA12A2"/>
    <w:rPr>
      <w:rFonts w:ascii="Arial" w:hAnsi="Arial" w:cs="Arial" w:hint="default"/>
      <w:b/>
      <w:bCs/>
      <w:i/>
      <w:iCs/>
      <w:color w:val="4F81BD"/>
      <w:sz w:val="24"/>
      <w:szCs w:val="24"/>
      <w:lang w:eastAsia="en-US"/>
    </w:rPr>
  </w:style>
  <w:style w:type="character" w:customStyle="1" w:styleId="caps">
    <w:name w:val="caps"/>
    <w:basedOn w:val="DefaultParagraphFont"/>
    <w:rsid w:val="00BA12A2"/>
  </w:style>
  <w:style w:type="character" w:customStyle="1" w:styleId="CharChar25">
    <w:name w:val="Char Char25"/>
    <w:semiHidden/>
    <w:rsid w:val="00BA12A2"/>
    <w:rPr>
      <w:rFonts w:ascii="Arial" w:hAnsi="Arial" w:cs="Arial" w:hint="default"/>
      <w:lang w:eastAsia="en-US"/>
    </w:rPr>
  </w:style>
  <w:style w:type="table" w:styleId="MediumShading1-Accent1">
    <w:name w:val="Medium Shading 1 Accent 1"/>
    <w:basedOn w:val="TableNormal"/>
    <w:link w:val="MediumGrid2Char"/>
    <w:uiPriority w:val="1"/>
    <w:rsid w:val="00BA12A2"/>
    <w:rPr>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
    <w:name w:val="Medium Grid 2 Char"/>
    <w:link w:val="MediumShading1-Accent1"/>
    <w:uiPriority w:val="1"/>
    <w:locked/>
    <w:rsid w:val="00BA12A2"/>
    <w:rPr>
      <w:rFonts w:ascii="Times New Roman" w:eastAsia="Times New Roman" w:hAnsi="Times New Roman" w:cs="Times New Roman" w:hint="default"/>
      <w:lang w:val="en-US" w:eastAsia="en-GB" w:bidi="ar-SA"/>
    </w:rPr>
  </w:style>
  <w:style w:type="table" w:styleId="TableGrid1">
    <w:name w:val="Table Grid 1"/>
    <w:basedOn w:val="TableNormal"/>
    <w:semiHidden/>
    <w:unhideWhenUsed/>
    <w:rsid w:val="00BA12A2"/>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5">
    <w:name w:val="Table Grid 5"/>
    <w:basedOn w:val="TableNormal"/>
    <w:semiHidden/>
    <w:unhideWhenUsed/>
    <w:rsid w:val="00BA12A2"/>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A12A2"/>
    <w:pPr>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DarkList-Accent4">
    <w:name w:val="Dark List Accent 4"/>
    <w:basedOn w:val="TableNormal"/>
    <w:uiPriority w:val="61"/>
    <w:rsid w:val="00BA12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List1-Accent5">
    <w:name w:val="Medium List 1 Accent 5"/>
    <w:basedOn w:val="TableNormal"/>
    <w:uiPriority w:val="61"/>
    <w:rsid w:val="00BA12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Reportnumberingstyle1">
    <w:name w:val="Report numbering style1"/>
    <w:uiPriority w:val="99"/>
    <w:rsid w:val="00D60B19"/>
  </w:style>
  <w:style w:type="numbering" w:customStyle="1" w:styleId="Reportnumberingstyle2">
    <w:name w:val="Report numbering style2"/>
    <w:uiPriority w:val="99"/>
    <w:rsid w:val="00DF497D"/>
  </w:style>
  <w:style w:type="paragraph" w:customStyle="1" w:styleId="GTTAquestionno">
    <w:name w:val="GTTA question no"/>
    <w:basedOn w:val="Heading4"/>
    <w:link w:val="GTTAquestionnoChar"/>
    <w:qFormat/>
    <w:rsid w:val="007677BC"/>
    <w:pPr>
      <w:numPr>
        <w:numId w:val="21"/>
      </w:numPr>
    </w:pPr>
  </w:style>
  <w:style w:type="character" w:customStyle="1" w:styleId="GTTAquestionnoChar">
    <w:name w:val="GTTA question no Char"/>
    <w:basedOn w:val="Heading4Char"/>
    <w:link w:val="GTTAquestionno"/>
    <w:rsid w:val="007677BC"/>
    <w:rPr>
      <w:rFonts w:ascii="Calibri" w:hAnsi="Calibri"/>
      <w:bCs/>
      <w:i/>
      <w:color w:val="009999"/>
      <w:sz w:val="24"/>
      <w:szCs w:val="24"/>
      <w:lang w:eastAsia="en-US"/>
    </w:rPr>
  </w:style>
  <w:style w:type="character" w:customStyle="1" w:styleId="Mention1">
    <w:name w:val="Mention1"/>
    <w:basedOn w:val="DefaultParagraphFont"/>
    <w:uiPriority w:val="99"/>
    <w:semiHidden/>
    <w:unhideWhenUsed/>
    <w:rsid w:val="003313F1"/>
    <w:rPr>
      <w:color w:val="2B579A"/>
      <w:shd w:val="clear" w:color="auto" w:fill="E6E6E6"/>
    </w:rPr>
  </w:style>
  <w:style w:type="numbering" w:customStyle="1" w:styleId="Reportnumberingstyle3">
    <w:name w:val="Report numbering style3"/>
    <w:uiPriority w:val="99"/>
    <w:rsid w:val="007525B2"/>
  </w:style>
  <w:style w:type="paragraph" w:customStyle="1" w:styleId="msonormal0">
    <w:name w:val="msonormal"/>
    <w:basedOn w:val="Normal"/>
    <w:rsid w:val="007525B2"/>
    <w:pPr>
      <w:spacing w:before="100" w:beforeAutospacing="1" w:after="100" w:afterAutospacing="1"/>
    </w:pPr>
    <w:rPr>
      <w:rFonts w:ascii="Times New Roman" w:hAnsi="Times New Roman"/>
      <w:lang w:eastAsia="en-GB"/>
    </w:rPr>
  </w:style>
  <w:style w:type="table" w:customStyle="1" w:styleId="MediumGrid21">
    <w:name w:val="Medium Grid 21"/>
    <w:basedOn w:val="TableNormal"/>
    <w:next w:val="MediumGrid2"/>
    <w:uiPriority w:val="1"/>
    <w:semiHidden/>
    <w:unhideWhenUsed/>
    <w:rsid w:val="007525B2"/>
    <w:rPr>
      <w:rFonts w:ascii="Calibri" w:hAnsi="Calibri" w:cs="Calibr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LightShading-Accent21">
    <w:name w:val="Light Shading - Accent 21"/>
    <w:basedOn w:val="TableNormal"/>
    <w:next w:val="LightShading-Accent2"/>
    <w:uiPriority w:val="30"/>
    <w:semiHidden/>
    <w:unhideWhenUsed/>
    <w:rsid w:val="007525B2"/>
    <w:rPr>
      <w:rFonts w:ascii="Arial" w:hAnsi="Arial" w:cs="Arial"/>
      <w:b/>
      <w:bCs/>
      <w:i/>
      <w:iCs/>
      <w:color w:val="4F81BD"/>
      <w:sz w:val="24"/>
      <w:szCs w:val="24"/>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MediumShading1-Accent11">
    <w:name w:val="Medium Shading 1 - Accent 11"/>
    <w:basedOn w:val="TableNormal"/>
    <w:next w:val="MediumShading1-Accent1"/>
    <w:uiPriority w:val="1"/>
    <w:semiHidden/>
    <w:unhideWhenUsed/>
    <w:rsid w:val="007525B2"/>
    <w:rPr>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Columns31">
    <w:name w:val="Table Columns 31"/>
    <w:basedOn w:val="TableNormal"/>
    <w:next w:val="TableColumns3"/>
    <w:semiHidden/>
    <w:unhideWhenUsed/>
    <w:rsid w:val="007525B2"/>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rfulList-Accent12">
    <w:name w:val="Colorful List - Accent 12"/>
    <w:basedOn w:val="TableNormal"/>
    <w:next w:val="ColorfulList-Accent1"/>
    <w:uiPriority w:val="72"/>
    <w:semiHidden/>
    <w:unhideWhenUsed/>
    <w:rsid w:val="007525B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41">
    <w:name w:val="Light List - Accent 41"/>
    <w:basedOn w:val="TableNormal"/>
    <w:next w:val="LightList-Accent4"/>
    <w:uiPriority w:val="61"/>
    <w:semiHidden/>
    <w:unhideWhenUsed/>
    <w:rsid w:val="007525B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DarkList-Accent41">
    <w:name w:val="Dark List - Accent 41"/>
    <w:basedOn w:val="TableNormal"/>
    <w:next w:val="DarkList-Accent4"/>
    <w:uiPriority w:val="61"/>
    <w:semiHidden/>
    <w:unhideWhenUsed/>
    <w:rsid w:val="007525B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1-Accent51">
    <w:name w:val="Medium List 1 - Accent 51"/>
    <w:basedOn w:val="TableNormal"/>
    <w:next w:val="MediumList1-Accent5"/>
    <w:uiPriority w:val="61"/>
    <w:semiHidden/>
    <w:unhideWhenUsed/>
    <w:rsid w:val="007525B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111">
    <w:name w:val="Light List - Accent 111"/>
    <w:basedOn w:val="TableNormal"/>
    <w:uiPriority w:val="61"/>
    <w:rsid w:val="007525B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rc4table1">
    <w:name w:val="arc4 table1"/>
    <w:basedOn w:val="TableNormal"/>
    <w:uiPriority w:val="99"/>
    <w:rsid w:val="007525B2"/>
    <w:pPr>
      <w:spacing w:before="20" w:after="20"/>
    </w:pPr>
    <w:rPr>
      <w:rFonts w:ascii="Arial" w:hAnsi="Arial"/>
      <w:sz w:val="22"/>
    </w:rPr>
    <w:tblP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Pr>
    <w:tcPr>
      <w:vAlign w:val="center"/>
    </w:tcPr>
    <w:tblStylePr w:type="firstRow">
      <w:rPr>
        <w:rFonts w:ascii="Arial" w:hAnsi="Arial" w:cs="Arial" w:hint="default"/>
        <w:b/>
        <w:color w:val="FFFFFF" w:themeColor="background1"/>
        <w:sz w:val="22"/>
        <w:szCs w:val="22"/>
      </w:rPr>
      <w:tblPr/>
      <w:tcPr>
        <w:shd w:val="clear" w:color="auto" w:fill="009999"/>
      </w:tcPr>
    </w:tblStylePr>
  </w:style>
  <w:style w:type="numbering" w:customStyle="1" w:styleId="Reportnumberingstyle4">
    <w:name w:val="Report numbering style4"/>
    <w:uiPriority w:val="99"/>
    <w:rsid w:val="007525B2"/>
  </w:style>
  <w:style w:type="character" w:styleId="LineNumber">
    <w:name w:val="line number"/>
    <w:basedOn w:val="DefaultParagraphFont"/>
    <w:uiPriority w:val="99"/>
    <w:semiHidden/>
    <w:unhideWhenUsed/>
    <w:rsid w:val="007525B2"/>
  </w:style>
  <w:style w:type="paragraph" w:customStyle="1" w:styleId="Reportforreport">
    <w:name w:val="Report for report"/>
    <w:basedOn w:val="Reporttext"/>
    <w:rsid w:val="007525B2"/>
    <w:pPr>
      <w:numPr>
        <w:ilvl w:val="0"/>
        <w:numId w:val="0"/>
      </w:numPr>
      <w:ind w:left="709" w:hanging="709"/>
    </w:pPr>
    <w:rPr>
      <w:lang w:eastAsia="en-GB"/>
    </w:rPr>
  </w:style>
  <w:style w:type="paragraph" w:customStyle="1" w:styleId="byline">
    <w:name w:val="byline"/>
    <w:basedOn w:val="Normal"/>
    <w:rsid w:val="004B21F5"/>
    <w:pPr>
      <w:spacing w:before="100" w:beforeAutospacing="1" w:after="100" w:afterAutospacing="1"/>
      <w:jc w:val="left"/>
    </w:pPr>
    <w:rPr>
      <w:rFonts w:ascii="Times New Roman" w:hAnsi="Times New Roman"/>
      <w:lang w:eastAsia="en-GB"/>
    </w:rPr>
  </w:style>
  <w:style w:type="paragraph" w:customStyle="1" w:styleId="summary">
    <w:name w:val="summary"/>
    <w:basedOn w:val="Normal"/>
    <w:rsid w:val="004B21F5"/>
    <w:pPr>
      <w:spacing w:before="100" w:beforeAutospacing="1" w:after="100" w:afterAutospacing="1"/>
      <w:jc w:val="left"/>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444AB2"/>
    <w:rPr>
      <w:color w:val="605E5C"/>
      <w:shd w:val="clear" w:color="auto" w:fill="E1DFDD"/>
    </w:rPr>
  </w:style>
  <w:style w:type="paragraph" w:customStyle="1" w:styleId="Heading31">
    <w:name w:val="Heading 31"/>
    <w:basedOn w:val="Heading3"/>
    <w:rsid w:val="0014458C"/>
    <w:pPr>
      <w:numPr>
        <w:numId w:val="24"/>
      </w:numPr>
    </w:pPr>
    <w:rPr>
      <w:b/>
      <w:color w:val="00808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772">
      <w:bodyDiv w:val="1"/>
      <w:marLeft w:val="0"/>
      <w:marRight w:val="0"/>
      <w:marTop w:val="0"/>
      <w:marBottom w:val="0"/>
      <w:divBdr>
        <w:top w:val="none" w:sz="0" w:space="0" w:color="auto"/>
        <w:left w:val="none" w:sz="0" w:space="0" w:color="auto"/>
        <w:bottom w:val="none" w:sz="0" w:space="0" w:color="auto"/>
        <w:right w:val="none" w:sz="0" w:space="0" w:color="auto"/>
      </w:divBdr>
    </w:div>
    <w:div w:id="5255218">
      <w:bodyDiv w:val="1"/>
      <w:marLeft w:val="0"/>
      <w:marRight w:val="0"/>
      <w:marTop w:val="0"/>
      <w:marBottom w:val="0"/>
      <w:divBdr>
        <w:top w:val="none" w:sz="0" w:space="0" w:color="auto"/>
        <w:left w:val="none" w:sz="0" w:space="0" w:color="auto"/>
        <w:bottom w:val="none" w:sz="0" w:space="0" w:color="auto"/>
        <w:right w:val="none" w:sz="0" w:space="0" w:color="auto"/>
      </w:divBdr>
    </w:div>
    <w:div w:id="11490727">
      <w:bodyDiv w:val="1"/>
      <w:marLeft w:val="0"/>
      <w:marRight w:val="0"/>
      <w:marTop w:val="0"/>
      <w:marBottom w:val="0"/>
      <w:divBdr>
        <w:top w:val="none" w:sz="0" w:space="0" w:color="auto"/>
        <w:left w:val="none" w:sz="0" w:space="0" w:color="auto"/>
        <w:bottom w:val="none" w:sz="0" w:space="0" w:color="auto"/>
        <w:right w:val="none" w:sz="0" w:space="0" w:color="auto"/>
      </w:divBdr>
    </w:div>
    <w:div w:id="11805988">
      <w:bodyDiv w:val="1"/>
      <w:marLeft w:val="0"/>
      <w:marRight w:val="0"/>
      <w:marTop w:val="0"/>
      <w:marBottom w:val="0"/>
      <w:divBdr>
        <w:top w:val="none" w:sz="0" w:space="0" w:color="auto"/>
        <w:left w:val="none" w:sz="0" w:space="0" w:color="auto"/>
        <w:bottom w:val="none" w:sz="0" w:space="0" w:color="auto"/>
        <w:right w:val="none" w:sz="0" w:space="0" w:color="auto"/>
      </w:divBdr>
    </w:div>
    <w:div w:id="13306208">
      <w:bodyDiv w:val="1"/>
      <w:marLeft w:val="0"/>
      <w:marRight w:val="0"/>
      <w:marTop w:val="0"/>
      <w:marBottom w:val="0"/>
      <w:divBdr>
        <w:top w:val="none" w:sz="0" w:space="0" w:color="auto"/>
        <w:left w:val="none" w:sz="0" w:space="0" w:color="auto"/>
        <w:bottom w:val="none" w:sz="0" w:space="0" w:color="auto"/>
        <w:right w:val="none" w:sz="0" w:space="0" w:color="auto"/>
      </w:divBdr>
    </w:div>
    <w:div w:id="15086867">
      <w:bodyDiv w:val="1"/>
      <w:marLeft w:val="0"/>
      <w:marRight w:val="0"/>
      <w:marTop w:val="0"/>
      <w:marBottom w:val="0"/>
      <w:divBdr>
        <w:top w:val="none" w:sz="0" w:space="0" w:color="auto"/>
        <w:left w:val="none" w:sz="0" w:space="0" w:color="auto"/>
        <w:bottom w:val="none" w:sz="0" w:space="0" w:color="auto"/>
        <w:right w:val="none" w:sz="0" w:space="0" w:color="auto"/>
      </w:divBdr>
    </w:div>
    <w:div w:id="25369946">
      <w:bodyDiv w:val="1"/>
      <w:marLeft w:val="0"/>
      <w:marRight w:val="0"/>
      <w:marTop w:val="0"/>
      <w:marBottom w:val="0"/>
      <w:divBdr>
        <w:top w:val="none" w:sz="0" w:space="0" w:color="auto"/>
        <w:left w:val="none" w:sz="0" w:space="0" w:color="auto"/>
        <w:bottom w:val="none" w:sz="0" w:space="0" w:color="auto"/>
        <w:right w:val="none" w:sz="0" w:space="0" w:color="auto"/>
      </w:divBdr>
    </w:div>
    <w:div w:id="26569121">
      <w:bodyDiv w:val="1"/>
      <w:marLeft w:val="0"/>
      <w:marRight w:val="0"/>
      <w:marTop w:val="0"/>
      <w:marBottom w:val="0"/>
      <w:divBdr>
        <w:top w:val="none" w:sz="0" w:space="0" w:color="auto"/>
        <w:left w:val="none" w:sz="0" w:space="0" w:color="auto"/>
        <w:bottom w:val="none" w:sz="0" w:space="0" w:color="auto"/>
        <w:right w:val="none" w:sz="0" w:space="0" w:color="auto"/>
      </w:divBdr>
    </w:div>
    <w:div w:id="31730497">
      <w:bodyDiv w:val="1"/>
      <w:marLeft w:val="0"/>
      <w:marRight w:val="0"/>
      <w:marTop w:val="0"/>
      <w:marBottom w:val="0"/>
      <w:divBdr>
        <w:top w:val="none" w:sz="0" w:space="0" w:color="auto"/>
        <w:left w:val="none" w:sz="0" w:space="0" w:color="auto"/>
        <w:bottom w:val="none" w:sz="0" w:space="0" w:color="auto"/>
        <w:right w:val="none" w:sz="0" w:space="0" w:color="auto"/>
      </w:divBdr>
    </w:div>
    <w:div w:id="34236693">
      <w:bodyDiv w:val="1"/>
      <w:marLeft w:val="0"/>
      <w:marRight w:val="0"/>
      <w:marTop w:val="0"/>
      <w:marBottom w:val="0"/>
      <w:divBdr>
        <w:top w:val="none" w:sz="0" w:space="0" w:color="auto"/>
        <w:left w:val="none" w:sz="0" w:space="0" w:color="auto"/>
        <w:bottom w:val="none" w:sz="0" w:space="0" w:color="auto"/>
        <w:right w:val="none" w:sz="0" w:space="0" w:color="auto"/>
      </w:divBdr>
    </w:div>
    <w:div w:id="34238915">
      <w:bodyDiv w:val="1"/>
      <w:marLeft w:val="0"/>
      <w:marRight w:val="0"/>
      <w:marTop w:val="0"/>
      <w:marBottom w:val="0"/>
      <w:divBdr>
        <w:top w:val="none" w:sz="0" w:space="0" w:color="auto"/>
        <w:left w:val="none" w:sz="0" w:space="0" w:color="auto"/>
        <w:bottom w:val="none" w:sz="0" w:space="0" w:color="auto"/>
        <w:right w:val="none" w:sz="0" w:space="0" w:color="auto"/>
      </w:divBdr>
    </w:div>
    <w:div w:id="35739839">
      <w:bodyDiv w:val="1"/>
      <w:marLeft w:val="0"/>
      <w:marRight w:val="0"/>
      <w:marTop w:val="0"/>
      <w:marBottom w:val="0"/>
      <w:divBdr>
        <w:top w:val="none" w:sz="0" w:space="0" w:color="auto"/>
        <w:left w:val="none" w:sz="0" w:space="0" w:color="auto"/>
        <w:bottom w:val="none" w:sz="0" w:space="0" w:color="auto"/>
        <w:right w:val="none" w:sz="0" w:space="0" w:color="auto"/>
      </w:divBdr>
    </w:div>
    <w:div w:id="40594058">
      <w:bodyDiv w:val="1"/>
      <w:marLeft w:val="0"/>
      <w:marRight w:val="0"/>
      <w:marTop w:val="0"/>
      <w:marBottom w:val="0"/>
      <w:divBdr>
        <w:top w:val="none" w:sz="0" w:space="0" w:color="auto"/>
        <w:left w:val="none" w:sz="0" w:space="0" w:color="auto"/>
        <w:bottom w:val="none" w:sz="0" w:space="0" w:color="auto"/>
        <w:right w:val="none" w:sz="0" w:space="0" w:color="auto"/>
      </w:divBdr>
    </w:div>
    <w:div w:id="42408082">
      <w:bodyDiv w:val="1"/>
      <w:marLeft w:val="0"/>
      <w:marRight w:val="0"/>
      <w:marTop w:val="0"/>
      <w:marBottom w:val="0"/>
      <w:divBdr>
        <w:top w:val="none" w:sz="0" w:space="0" w:color="auto"/>
        <w:left w:val="none" w:sz="0" w:space="0" w:color="auto"/>
        <w:bottom w:val="none" w:sz="0" w:space="0" w:color="auto"/>
        <w:right w:val="none" w:sz="0" w:space="0" w:color="auto"/>
      </w:divBdr>
    </w:div>
    <w:div w:id="43062439">
      <w:bodyDiv w:val="1"/>
      <w:marLeft w:val="0"/>
      <w:marRight w:val="0"/>
      <w:marTop w:val="0"/>
      <w:marBottom w:val="0"/>
      <w:divBdr>
        <w:top w:val="none" w:sz="0" w:space="0" w:color="auto"/>
        <w:left w:val="none" w:sz="0" w:space="0" w:color="auto"/>
        <w:bottom w:val="none" w:sz="0" w:space="0" w:color="auto"/>
        <w:right w:val="none" w:sz="0" w:space="0" w:color="auto"/>
      </w:divBdr>
    </w:div>
    <w:div w:id="45493715">
      <w:bodyDiv w:val="1"/>
      <w:marLeft w:val="0"/>
      <w:marRight w:val="0"/>
      <w:marTop w:val="0"/>
      <w:marBottom w:val="0"/>
      <w:divBdr>
        <w:top w:val="none" w:sz="0" w:space="0" w:color="auto"/>
        <w:left w:val="none" w:sz="0" w:space="0" w:color="auto"/>
        <w:bottom w:val="none" w:sz="0" w:space="0" w:color="auto"/>
        <w:right w:val="none" w:sz="0" w:space="0" w:color="auto"/>
      </w:divBdr>
    </w:div>
    <w:div w:id="47847868">
      <w:bodyDiv w:val="1"/>
      <w:marLeft w:val="0"/>
      <w:marRight w:val="0"/>
      <w:marTop w:val="0"/>
      <w:marBottom w:val="0"/>
      <w:divBdr>
        <w:top w:val="none" w:sz="0" w:space="0" w:color="auto"/>
        <w:left w:val="none" w:sz="0" w:space="0" w:color="auto"/>
        <w:bottom w:val="none" w:sz="0" w:space="0" w:color="auto"/>
        <w:right w:val="none" w:sz="0" w:space="0" w:color="auto"/>
      </w:divBdr>
    </w:div>
    <w:div w:id="50228116">
      <w:bodyDiv w:val="1"/>
      <w:marLeft w:val="0"/>
      <w:marRight w:val="0"/>
      <w:marTop w:val="0"/>
      <w:marBottom w:val="0"/>
      <w:divBdr>
        <w:top w:val="none" w:sz="0" w:space="0" w:color="auto"/>
        <w:left w:val="none" w:sz="0" w:space="0" w:color="auto"/>
        <w:bottom w:val="none" w:sz="0" w:space="0" w:color="auto"/>
        <w:right w:val="none" w:sz="0" w:space="0" w:color="auto"/>
      </w:divBdr>
    </w:div>
    <w:div w:id="50661718">
      <w:bodyDiv w:val="1"/>
      <w:marLeft w:val="0"/>
      <w:marRight w:val="0"/>
      <w:marTop w:val="0"/>
      <w:marBottom w:val="0"/>
      <w:divBdr>
        <w:top w:val="none" w:sz="0" w:space="0" w:color="auto"/>
        <w:left w:val="none" w:sz="0" w:space="0" w:color="auto"/>
        <w:bottom w:val="none" w:sz="0" w:space="0" w:color="auto"/>
        <w:right w:val="none" w:sz="0" w:space="0" w:color="auto"/>
      </w:divBdr>
    </w:div>
    <w:div w:id="52893263">
      <w:bodyDiv w:val="1"/>
      <w:marLeft w:val="0"/>
      <w:marRight w:val="0"/>
      <w:marTop w:val="0"/>
      <w:marBottom w:val="0"/>
      <w:divBdr>
        <w:top w:val="none" w:sz="0" w:space="0" w:color="auto"/>
        <w:left w:val="none" w:sz="0" w:space="0" w:color="auto"/>
        <w:bottom w:val="none" w:sz="0" w:space="0" w:color="auto"/>
        <w:right w:val="none" w:sz="0" w:space="0" w:color="auto"/>
      </w:divBdr>
    </w:div>
    <w:div w:id="53089903">
      <w:bodyDiv w:val="1"/>
      <w:marLeft w:val="0"/>
      <w:marRight w:val="0"/>
      <w:marTop w:val="0"/>
      <w:marBottom w:val="0"/>
      <w:divBdr>
        <w:top w:val="none" w:sz="0" w:space="0" w:color="auto"/>
        <w:left w:val="none" w:sz="0" w:space="0" w:color="auto"/>
        <w:bottom w:val="none" w:sz="0" w:space="0" w:color="auto"/>
        <w:right w:val="none" w:sz="0" w:space="0" w:color="auto"/>
      </w:divBdr>
    </w:div>
    <w:div w:id="61636475">
      <w:bodyDiv w:val="1"/>
      <w:marLeft w:val="0"/>
      <w:marRight w:val="0"/>
      <w:marTop w:val="0"/>
      <w:marBottom w:val="0"/>
      <w:divBdr>
        <w:top w:val="none" w:sz="0" w:space="0" w:color="auto"/>
        <w:left w:val="none" w:sz="0" w:space="0" w:color="auto"/>
        <w:bottom w:val="none" w:sz="0" w:space="0" w:color="auto"/>
        <w:right w:val="none" w:sz="0" w:space="0" w:color="auto"/>
      </w:divBdr>
    </w:div>
    <w:div w:id="61874622">
      <w:bodyDiv w:val="1"/>
      <w:marLeft w:val="0"/>
      <w:marRight w:val="0"/>
      <w:marTop w:val="0"/>
      <w:marBottom w:val="0"/>
      <w:divBdr>
        <w:top w:val="none" w:sz="0" w:space="0" w:color="auto"/>
        <w:left w:val="none" w:sz="0" w:space="0" w:color="auto"/>
        <w:bottom w:val="none" w:sz="0" w:space="0" w:color="auto"/>
        <w:right w:val="none" w:sz="0" w:space="0" w:color="auto"/>
      </w:divBdr>
    </w:div>
    <w:div w:id="66463285">
      <w:bodyDiv w:val="1"/>
      <w:marLeft w:val="0"/>
      <w:marRight w:val="0"/>
      <w:marTop w:val="0"/>
      <w:marBottom w:val="0"/>
      <w:divBdr>
        <w:top w:val="none" w:sz="0" w:space="0" w:color="auto"/>
        <w:left w:val="none" w:sz="0" w:space="0" w:color="auto"/>
        <w:bottom w:val="none" w:sz="0" w:space="0" w:color="auto"/>
        <w:right w:val="none" w:sz="0" w:space="0" w:color="auto"/>
      </w:divBdr>
    </w:div>
    <w:div w:id="66533679">
      <w:bodyDiv w:val="1"/>
      <w:marLeft w:val="0"/>
      <w:marRight w:val="0"/>
      <w:marTop w:val="0"/>
      <w:marBottom w:val="0"/>
      <w:divBdr>
        <w:top w:val="none" w:sz="0" w:space="0" w:color="auto"/>
        <w:left w:val="none" w:sz="0" w:space="0" w:color="auto"/>
        <w:bottom w:val="none" w:sz="0" w:space="0" w:color="auto"/>
        <w:right w:val="none" w:sz="0" w:space="0" w:color="auto"/>
      </w:divBdr>
    </w:div>
    <w:div w:id="69469311">
      <w:bodyDiv w:val="1"/>
      <w:marLeft w:val="0"/>
      <w:marRight w:val="0"/>
      <w:marTop w:val="0"/>
      <w:marBottom w:val="0"/>
      <w:divBdr>
        <w:top w:val="none" w:sz="0" w:space="0" w:color="auto"/>
        <w:left w:val="none" w:sz="0" w:space="0" w:color="auto"/>
        <w:bottom w:val="none" w:sz="0" w:space="0" w:color="auto"/>
        <w:right w:val="none" w:sz="0" w:space="0" w:color="auto"/>
      </w:divBdr>
    </w:div>
    <w:div w:id="73668023">
      <w:bodyDiv w:val="1"/>
      <w:marLeft w:val="0"/>
      <w:marRight w:val="0"/>
      <w:marTop w:val="0"/>
      <w:marBottom w:val="0"/>
      <w:divBdr>
        <w:top w:val="none" w:sz="0" w:space="0" w:color="auto"/>
        <w:left w:val="none" w:sz="0" w:space="0" w:color="auto"/>
        <w:bottom w:val="none" w:sz="0" w:space="0" w:color="auto"/>
        <w:right w:val="none" w:sz="0" w:space="0" w:color="auto"/>
      </w:divBdr>
    </w:div>
    <w:div w:id="76171138">
      <w:bodyDiv w:val="1"/>
      <w:marLeft w:val="0"/>
      <w:marRight w:val="0"/>
      <w:marTop w:val="0"/>
      <w:marBottom w:val="0"/>
      <w:divBdr>
        <w:top w:val="none" w:sz="0" w:space="0" w:color="auto"/>
        <w:left w:val="none" w:sz="0" w:space="0" w:color="auto"/>
        <w:bottom w:val="none" w:sz="0" w:space="0" w:color="auto"/>
        <w:right w:val="none" w:sz="0" w:space="0" w:color="auto"/>
      </w:divBdr>
    </w:div>
    <w:div w:id="89353516">
      <w:bodyDiv w:val="1"/>
      <w:marLeft w:val="0"/>
      <w:marRight w:val="0"/>
      <w:marTop w:val="0"/>
      <w:marBottom w:val="0"/>
      <w:divBdr>
        <w:top w:val="none" w:sz="0" w:space="0" w:color="auto"/>
        <w:left w:val="none" w:sz="0" w:space="0" w:color="auto"/>
        <w:bottom w:val="none" w:sz="0" w:space="0" w:color="auto"/>
        <w:right w:val="none" w:sz="0" w:space="0" w:color="auto"/>
      </w:divBdr>
    </w:div>
    <w:div w:id="90052996">
      <w:bodyDiv w:val="1"/>
      <w:marLeft w:val="0"/>
      <w:marRight w:val="0"/>
      <w:marTop w:val="0"/>
      <w:marBottom w:val="0"/>
      <w:divBdr>
        <w:top w:val="none" w:sz="0" w:space="0" w:color="auto"/>
        <w:left w:val="none" w:sz="0" w:space="0" w:color="auto"/>
        <w:bottom w:val="none" w:sz="0" w:space="0" w:color="auto"/>
        <w:right w:val="none" w:sz="0" w:space="0" w:color="auto"/>
      </w:divBdr>
    </w:div>
    <w:div w:id="93333550">
      <w:bodyDiv w:val="1"/>
      <w:marLeft w:val="0"/>
      <w:marRight w:val="0"/>
      <w:marTop w:val="0"/>
      <w:marBottom w:val="0"/>
      <w:divBdr>
        <w:top w:val="none" w:sz="0" w:space="0" w:color="auto"/>
        <w:left w:val="none" w:sz="0" w:space="0" w:color="auto"/>
        <w:bottom w:val="none" w:sz="0" w:space="0" w:color="auto"/>
        <w:right w:val="none" w:sz="0" w:space="0" w:color="auto"/>
      </w:divBdr>
    </w:div>
    <w:div w:id="94907583">
      <w:bodyDiv w:val="1"/>
      <w:marLeft w:val="0"/>
      <w:marRight w:val="0"/>
      <w:marTop w:val="0"/>
      <w:marBottom w:val="0"/>
      <w:divBdr>
        <w:top w:val="none" w:sz="0" w:space="0" w:color="auto"/>
        <w:left w:val="none" w:sz="0" w:space="0" w:color="auto"/>
        <w:bottom w:val="none" w:sz="0" w:space="0" w:color="auto"/>
        <w:right w:val="none" w:sz="0" w:space="0" w:color="auto"/>
      </w:divBdr>
    </w:div>
    <w:div w:id="99303328">
      <w:bodyDiv w:val="1"/>
      <w:marLeft w:val="0"/>
      <w:marRight w:val="0"/>
      <w:marTop w:val="0"/>
      <w:marBottom w:val="0"/>
      <w:divBdr>
        <w:top w:val="none" w:sz="0" w:space="0" w:color="auto"/>
        <w:left w:val="none" w:sz="0" w:space="0" w:color="auto"/>
        <w:bottom w:val="none" w:sz="0" w:space="0" w:color="auto"/>
        <w:right w:val="none" w:sz="0" w:space="0" w:color="auto"/>
      </w:divBdr>
    </w:div>
    <w:div w:id="105934231">
      <w:bodyDiv w:val="1"/>
      <w:marLeft w:val="0"/>
      <w:marRight w:val="0"/>
      <w:marTop w:val="0"/>
      <w:marBottom w:val="0"/>
      <w:divBdr>
        <w:top w:val="none" w:sz="0" w:space="0" w:color="auto"/>
        <w:left w:val="none" w:sz="0" w:space="0" w:color="auto"/>
        <w:bottom w:val="none" w:sz="0" w:space="0" w:color="auto"/>
        <w:right w:val="none" w:sz="0" w:space="0" w:color="auto"/>
      </w:divBdr>
    </w:div>
    <w:div w:id="108596953">
      <w:bodyDiv w:val="1"/>
      <w:marLeft w:val="0"/>
      <w:marRight w:val="0"/>
      <w:marTop w:val="0"/>
      <w:marBottom w:val="0"/>
      <w:divBdr>
        <w:top w:val="none" w:sz="0" w:space="0" w:color="auto"/>
        <w:left w:val="none" w:sz="0" w:space="0" w:color="auto"/>
        <w:bottom w:val="none" w:sz="0" w:space="0" w:color="auto"/>
        <w:right w:val="none" w:sz="0" w:space="0" w:color="auto"/>
      </w:divBdr>
    </w:div>
    <w:div w:id="111479256">
      <w:bodyDiv w:val="1"/>
      <w:marLeft w:val="0"/>
      <w:marRight w:val="0"/>
      <w:marTop w:val="0"/>
      <w:marBottom w:val="0"/>
      <w:divBdr>
        <w:top w:val="none" w:sz="0" w:space="0" w:color="auto"/>
        <w:left w:val="none" w:sz="0" w:space="0" w:color="auto"/>
        <w:bottom w:val="none" w:sz="0" w:space="0" w:color="auto"/>
        <w:right w:val="none" w:sz="0" w:space="0" w:color="auto"/>
      </w:divBdr>
    </w:div>
    <w:div w:id="111822318">
      <w:bodyDiv w:val="1"/>
      <w:marLeft w:val="0"/>
      <w:marRight w:val="0"/>
      <w:marTop w:val="0"/>
      <w:marBottom w:val="0"/>
      <w:divBdr>
        <w:top w:val="none" w:sz="0" w:space="0" w:color="auto"/>
        <w:left w:val="none" w:sz="0" w:space="0" w:color="auto"/>
        <w:bottom w:val="none" w:sz="0" w:space="0" w:color="auto"/>
        <w:right w:val="none" w:sz="0" w:space="0" w:color="auto"/>
      </w:divBdr>
    </w:div>
    <w:div w:id="112098749">
      <w:bodyDiv w:val="1"/>
      <w:marLeft w:val="0"/>
      <w:marRight w:val="0"/>
      <w:marTop w:val="0"/>
      <w:marBottom w:val="0"/>
      <w:divBdr>
        <w:top w:val="none" w:sz="0" w:space="0" w:color="auto"/>
        <w:left w:val="none" w:sz="0" w:space="0" w:color="auto"/>
        <w:bottom w:val="none" w:sz="0" w:space="0" w:color="auto"/>
        <w:right w:val="none" w:sz="0" w:space="0" w:color="auto"/>
      </w:divBdr>
    </w:div>
    <w:div w:id="112137185">
      <w:bodyDiv w:val="1"/>
      <w:marLeft w:val="0"/>
      <w:marRight w:val="0"/>
      <w:marTop w:val="0"/>
      <w:marBottom w:val="0"/>
      <w:divBdr>
        <w:top w:val="none" w:sz="0" w:space="0" w:color="auto"/>
        <w:left w:val="none" w:sz="0" w:space="0" w:color="auto"/>
        <w:bottom w:val="none" w:sz="0" w:space="0" w:color="auto"/>
        <w:right w:val="none" w:sz="0" w:space="0" w:color="auto"/>
      </w:divBdr>
    </w:div>
    <w:div w:id="114254217">
      <w:bodyDiv w:val="1"/>
      <w:marLeft w:val="0"/>
      <w:marRight w:val="0"/>
      <w:marTop w:val="0"/>
      <w:marBottom w:val="0"/>
      <w:divBdr>
        <w:top w:val="none" w:sz="0" w:space="0" w:color="auto"/>
        <w:left w:val="none" w:sz="0" w:space="0" w:color="auto"/>
        <w:bottom w:val="none" w:sz="0" w:space="0" w:color="auto"/>
        <w:right w:val="none" w:sz="0" w:space="0" w:color="auto"/>
      </w:divBdr>
    </w:div>
    <w:div w:id="115411921">
      <w:bodyDiv w:val="1"/>
      <w:marLeft w:val="0"/>
      <w:marRight w:val="0"/>
      <w:marTop w:val="0"/>
      <w:marBottom w:val="0"/>
      <w:divBdr>
        <w:top w:val="none" w:sz="0" w:space="0" w:color="auto"/>
        <w:left w:val="none" w:sz="0" w:space="0" w:color="auto"/>
        <w:bottom w:val="none" w:sz="0" w:space="0" w:color="auto"/>
        <w:right w:val="none" w:sz="0" w:space="0" w:color="auto"/>
      </w:divBdr>
    </w:div>
    <w:div w:id="119611684">
      <w:bodyDiv w:val="1"/>
      <w:marLeft w:val="0"/>
      <w:marRight w:val="0"/>
      <w:marTop w:val="0"/>
      <w:marBottom w:val="0"/>
      <w:divBdr>
        <w:top w:val="none" w:sz="0" w:space="0" w:color="auto"/>
        <w:left w:val="none" w:sz="0" w:space="0" w:color="auto"/>
        <w:bottom w:val="none" w:sz="0" w:space="0" w:color="auto"/>
        <w:right w:val="none" w:sz="0" w:space="0" w:color="auto"/>
      </w:divBdr>
    </w:div>
    <w:div w:id="122619963">
      <w:bodyDiv w:val="1"/>
      <w:marLeft w:val="0"/>
      <w:marRight w:val="0"/>
      <w:marTop w:val="0"/>
      <w:marBottom w:val="0"/>
      <w:divBdr>
        <w:top w:val="none" w:sz="0" w:space="0" w:color="auto"/>
        <w:left w:val="none" w:sz="0" w:space="0" w:color="auto"/>
        <w:bottom w:val="none" w:sz="0" w:space="0" w:color="auto"/>
        <w:right w:val="none" w:sz="0" w:space="0" w:color="auto"/>
      </w:divBdr>
    </w:div>
    <w:div w:id="123928617">
      <w:bodyDiv w:val="1"/>
      <w:marLeft w:val="0"/>
      <w:marRight w:val="0"/>
      <w:marTop w:val="0"/>
      <w:marBottom w:val="0"/>
      <w:divBdr>
        <w:top w:val="none" w:sz="0" w:space="0" w:color="auto"/>
        <w:left w:val="none" w:sz="0" w:space="0" w:color="auto"/>
        <w:bottom w:val="none" w:sz="0" w:space="0" w:color="auto"/>
        <w:right w:val="none" w:sz="0" w:space="0" w:color="auto"/>
      </w:divBdr>
    </w:div>
    <w:div w:id="125127489">
      <w:bodyDiv w:val="1"/>
      <w:marLeft w:val="0"/>
      <w:marRight w:val="0"/>
      <w:marTop w:val="0"/>
      <w:marBottom w:val="0"/>
      <w:divBdr>
        <w:top w:val="none" w:sz="0" w:space="0" w:color="auto"/>
        <w:left w:val="none" w:sz="0" w:space="0" w:color="auto"/>
        <w:bottom w:val="none" w:sz="0" w:space="0" w:color="auto"/>
        <w:right w:val="none" w:sz="0" w:space="0" w:color="auto"/>
      </w:divBdr>
    </w:div>
    <w:div w:id="125203444">
      <w:bodyDiv w:val="1"/>
      <w:marLeft w:val="0"/>
      <w:marRight w:val="0"/>
      <w:marTop w:val="0"/>
      <w:marBottom w:val="0"/>
      <w:divBdr>
        <w:top w:val="none" w:sz="0" w:space="0" w:color="auto"/>
        <w:left w:val="none" w:sz="0" w:space="0" w:color="auto"/>
        <w:bottom w:val="none" w:sz="0" w:space="0" w:color="auto"/>
        <w:right w:val="none" w:sz="0" w:space="0" w:color="auto"/>
      </w:divBdr>
    </w:div>
    <w:div w:id="125854145">
      <w:bodyDiv w:val="1"/>
      <w:marLeft w:val="0"/>
      <w:marRight w:val="0"/>
      <w:marTop w:val="0"/>
      <w:marBottom w:val="0"/>
      <w:divBdr>
        <w:top w:val="none" w:sz="0" w:space="0" w:color="auto"/>
        <w:left w:val="none" w:sz="0" w:space="0" w:color="auto"/>
        <w:bottom w:val="none" w:sz="0" w:space="0" w:color="auto"/>
        <w:right w:val="none" w:sz="0" w:space="0" w:color="auto"/>
      </w:divBdr>
    </w:div>
    <w:div w:id="127171180">
      <w:bodyDiv w:val="1"/>
      <w:marLeft w:val="0"/>
      <w:marRight w:val="0"/>
      <w:marTop w:val="0"/>
      <w:marBottom w:val="0"/>
      <w:divBdr>
        <w:top w:val="none" w:sz="0" w:space="0" w:color="auto"/>
        <w:left w:val="none" w:sz="0" w:space="0" w:color="auto"/>
        <w:bottom w:val="none" w:sz="0" w:space="0" w:color="auto"/>
        <w:right w:val="none" w:sz="0" w:space="0" w:color="auto"/>
      </w:divBdr>
    </w:div>
    <w:div w:id="128404612">
      <w:bodyDiv w:val="1"/>
      <w:marLeft w:val="0"/>
      <w:marRight w:val="0"/>
      <w:marTop w:val="0"/>
      <w:marBottom w:val="0"/>
      <w:divBdr>
        <w:top w:val="none" w:sz="0" w:space="0" w:color="auto"/>
        <w:left w:val="none" w:sz="0" w:space="0" w:color="auto"/>
        <w:bottom w:val="none" w:sz="0" w:space="0" w:color="auto"/>
        <w:right w:val="none" w:sz="0" w:space="0" w:color="auto"/>
      </w:divBdr>
    </w:div>
    <w:div w:id="129396907">
      <w:bodyDiv w:val="1"/>
      <w:marLeft w:val="0"/>
      <w:marRight w:val="0"/>
      <w:marTop w:val="0"/>
      <w:marBottom w:val="0"/>
      <w:divBdr>
        <w:top w:val="none" w:sz="0" w:space="0" w:color="auto"/>
        <w:left w:val="none" w:sz="0" w:space="0" w:color="auto"/>
        <w:bottom w:val="none" w:sz="0" w:space="0" w:color="auto"/>
        <w:right w:val="none" w:sz="0" w:space="0" w:color="auto"/>
      </w:divBdr>
    </w:div>
    <w:div w:id="129981436">
      <w:bodyDiv w:val="1"/>
      <w:marLeft w:val="0"/>
      <w:marRight w:val="0"/>
      <w:marTop w:val="0"/>
      <w:marBottom w:val="0"/>
      <w:divBdr>
        <w:top w:val="none" w:sz="0" w:space="0" w:color="auto"/>
        <w:left w:val="none" w:sz="0" w:space="0" w:color="auto"/>
        <w:bottom w:val="none" w:sz="0" w:space="0" w:color="auto"/>
        <w:right w:val="none" w:sz="0" w:space="0" w:color="auto"/>
      </w:divBdr>
    </w:div>
    <w:div w:id="138614934">
      <w:bodyDiv w:val="1"/>
      <w:marLeft w:val="0"/>
      <w:marRight w:val="0"/>
      <w:marTop w:val="0"/>
      <w:marBottom w:val="0"/>
      <w:divBdr>
        <w:top w:val="none" w:sz="0" w:space="0" w:color="auto"/>
        <w:left w:val="none" w:sz="0" w:space="0" w:color="auto"/>
        <w:bottom w:val="none" w:sz="0" w:space="0" w:color="auto"/>
        <w:right w:val="none" w:sz="0" w:space="0" w:color="auto"/>
      </w:divBdr>
    </w:div>
    <w:div w:id="147212200">
      <w:bodyDiv w:val="1"/>
      <w:marLeft w:val="0"/>
      <w:marRight w:val="0"/>
      <w:marTop w:val="0"/>
      <w:marBottom w:val="0"/>
      <w:divBdr>
        <w:top w:val="none" w:sz="0" w:space="0" w:color="auto"/>
        <w:left w:val="none" w:sz="0" w:space="0" w:color="auto"/>
        <w:bottom w:val="none" w:sz="0" w:space="0" w:color="auto"/>
        <w:right w:val="none" w:sz="0" w:space="0" w:color="auto"/>
      </w:divBdr>
    </w:div>
    <w:div w:id="148983435">
      <w:bodyDiv w:val="1"/>
      <w:marLeft w:val="0"/>
      <w:marRight w:val="0"/>
      <w:marTop w:val="0"/>
      <w:marBottom w:val="0"/>
      <w:divBdr>
        <w:top w:val="none" w:sz="0" w:space="0" w:color="auto"/>
        <w:left w:val="none" w:sz="0" w:space="0" w:color="auto"/>
        <w:bottom w:val="none" w:sz="0" w:space="0" w:color="auto"/>
        <w:right w:val="none" w:sz="0" w:space="0" w:color="auto"/>
      </w:divBdr>
    </w:div>
    <w:div w:id="157888940">
      <w:bodyDiv w:val="1"/>
      <w:marLeft w:val="0"/>
      <w:marRight w:val="0"/>
      <w:marTop w:val="0"/>
      <w:marBottom w:val="0"/>
      <w:divBdr>
        <w:top w:val="none" w:sz="0" w:space="0" w:color="auto"/>
        <w:left w:val="none" w:sz="0" w:space="0" w:color="auto"/>
        <w:bottom w:val="none" w:sz="0" w:space="0" w:color="auto"/>
        <w:right w:val="none" w:sz="0" w:space="0" w:color="auto"/>
      </w:divBdr>
    </w:div>
    <w:div w:id="159081898">
      <w:bodyDiv w:val="1"/>
      <w:marLeft w:val="0"/>
      <w:marRight w:val="0"/>
      <w:marTop w:val="0"/>
      <w:marBottom w:val="0"/>
      <w:divBdr>
        <w:top w:val="none" w:sz="0" w:space="0" w:color="auto"/>
        <w:left w:val="none" w:sz="0" w:space="0" w:color="auto"/>
        <w:bottom w:val="none" w:sz="0" w:space="0" w:color="auto"/>
        <w:right w:val="none" w:sz="0" w:space="0" w:color="auto"/>
      </w:divBdr>
    </w:div>
    <w:div w:id="169877918">
      <w:bodyDiv w:val="1"/>
      <w:marLeft w:val="0"/>
      <w:marRight w:val="0"/>
      <w:marTop w:val="0"/>
      <w:marBottom w:val="0"/>
      <w:divBdr>
        <w:top w:val="none" w:sz="0" w:space="0" w:color="auto"/>
        <w:left w:val="none" w:sz="0" w:space="0" w:color="auto"/>
        <w:bottom w:val="none" w:sz="0" w:space="0" w:color="auto"/>
        <w:right w:val="none" w:sz="0" w:space="0" w:color="auto"/>
      </w:divBdr>
    </w:div>
    <w:div w:id="170221505">
      <w:bodyDiv w:val="1"/>
      <w:marLeft w:val="0"/>
      <w:marRight w:val="0"/>
      <w:marTop w:val="0"/>
      <w:marBottom w:val="0"/>
      <w:divBdr>
        <w:top w:val="none" w:sz="0" w:space="0" w:color="auto"/>
        <w:left w:val="none" w:sz="0" w:space="0" w:color="auto"/>
        <w:bottom w:val="none" w:sz="0" w:space="0" w:color="auto"/>
        <w:right w:val="none" w:sz="0" w:space="0" w:color="auto"/>
      </w:divBdr>
    </w:div>
    <w:div w:id="175971179">
      <w:bodyDiv w:val="1"/>
      <w:marLeft w:val="0"/>
      <w:marRight w:val="0"/>
      <w:marTop w:val="0"/>
      <w:marBottom w:val="0"/>
      <w:divBdr>
        <w:top w:val="none" w:sz="0" w:space="0" w:color="auto"/>
        <w:left w:val="none" w:sz="0" w:space="0" w:color="auto"/>
        <w:bottom w:val="none" w:sz="0" w:space="0" w:color="auto"/>
        <w:right w:val="none" w:sz="0" w:space="0" w:color="auto"/>
      </w:divBdr>
    </w:div>
    <w:div w:id="179927572">
      <w:bodyDiv w:val="1"/>
      <w:marLeft w:val="0"/>
      <w:marRight w:val="0"/>
      <w:marTop w:val="0"/>
      <w:marBottom w:val="0"/>
      <w:divBdr>
        <w:top w:val="none" w:sz="0" w:space="0" w:color="auto"/>
        <w:left w:val="none" w:sz="0" w:space="0" w:color="auto"/>
        <w:bottom w:val="none" w:sz="0" w:space="0" w:color="auto"/>
        <w:right w:val="none" w:sz="0" w:space="0" w:color="auto"/>
      </w:divBdr>
    </w:div>
    <w:div w:id="182548601">
      <w:bodyDiv w:val="1"/>
      <w:marLeft w:val="0"/>
      <w:marRight w:val="0"/>
      <w:marTop w:val="0"/>
      <w:marBottom w:val="0"/>
      <w:divBdr>
        <w:top w:val="none" w:sz="0" w:space="0" w:color="auto"/>
        <w:left w:val="none" w:sz="0" w:space="0" w:color="auto"/>
        <w:bottom w:val="none" w:sz="0" w:space="0" w:color="auto"/>
        <w:right w:val="none" w:sz="0" w:space="0" w:color="auto"/>
      </w:divBdr>
    </w:div>
    <w:div w:id="183445947">
      <w:bodyDiv w:val="1"/>
      <w:marLeft w:val="0"/>
      <w:marRight w:val="0"/>
      <w:marTop w:val="0"/>
      <w:marBottom w:val="0"/>
      <w:divBdr>
        <w:top w:val="none" w:sz="0" w:space="0" w:color="auto"/>
        <w:left w:val="none" w:sz="0" w:space="0" w:color="auto"/>
        <w:bottom w:val="none" w:sz="0" w:space="0" w:color="auto"/>
        <w:right w:val="none" w:sz="0" w:space="0" w:color="auto"/>
      </w:divBdr>
    </w:div>
    <w:div w:id="187331179">
      <w:bodyDiv w:val="1"/>
      <w:marLeft w:val="0"/>
      <w:marRight w:val="0"/>
      <w:marTop w:val="0"/>
      <w:marBottom w:val="0"/>
      <w:divBdr>
        <w:top w:val="none" w:sz="0" w:space="0" w:color="auto"/>
        <w:left w:val="none" w:sz="0" w:space="0" w:color="auto"/>
        <w:bottom w:val="none" w:sz="0" w:space="0" w:color="auto"/>
        <w:right w:val="none" w:sz="0" w:space="0" w:color="auto"/>
      </w:divBdr>
    </w:div>
    <w:div w:id="187717201">
      <w:bodyDiv w:val="1"/>
      <w:marLeft w:val="0"/>
      <w:marRight w:val="0"/>
      <w:marTop w:val="0"/>
      <w:marBottom w:val="0"/>
      <w:divBdr>
        <w:top w:val="none" w:sz="0" w:space="0" w:color="auto"/>
        <w:left w:val="none" w:sz="0" w:space="0" w:color="auto"/>
        <w:bottom w:val="none" w:sz="0" w:space="0" w:color="auto"/>
        <w:right w:val="none" w:sz="0" w:space="0" w:color="auto"/>
      </w:divBdr>
    </w:div>
    <w:div w:id="189729278">
      <w:bodyDiv w:val="1"/>
      <w:marLeft w:val="0"/>
      <w:marRight w:val="0"/>
      <w:marTop w:val="0"/>
      <w:marBottom w:val="0"/>
      <w:divBdr>
        <w:top w:val="none" w:sz="0" w:space="0" w:color="auto"/>
        <w:left w:val="none" w:sz="0" w:space="0" w:color="auto"/>
        <w:bottom w:val="none" w:sz="0" w:space="0" w:color="auto"/>
        <w:right w:val="none" w:sz="0" w:space="0" w:color="auto"/>
      </w:divBdr>
    </w:div>
    <w:div w:id="191462854">
      <w:bodyDiv w:val="1"/>
      <w:marLeft w:val="0"/>
      <w:marRight w:val="0"/>
      <w:marTop w:val="0"/>
      <w:marBottom w:val="0"/>
      <w:divBdr>
        <w:top w:val="none" w:sz="0" w:space="0" w:color="auto"/>
        <w:left w:val="none" w:sz="0" w:space="0" w:color="auto"/>
        <w:bottom w:val="none" w:sz="0" w:space="0" w:color="auto"/>
        <w:right w:val="none" w:sz="0" w:space="0" w:color="auto"/>
      </w:divBdr>
    </w:div>
    <w:div w:id="192109860">
      <w:bodyDiv w:val="1"/>
      <w:marLeft w:val="0"/>
      <w:marRight w:val="0"/>
      <w:marTop w:val="0"/>
      <w:marBottom w:val="0"/>
      <w:divBdr>
        <w:top w:val="none" w:sz="0" w:space="0" w:color="auto"/>
        <w:left w:val="none" w:sz="0" w:space="0" w:color="auto"/>
        <w:bottom w:val="none" w:sz="0" w:space="0" w:color="auto"/>
        <w:right w:val="none" w:sz="0" w:space="0" w:color="auto"/>
      </w:divBdr>
    </w:div>
    <w:div w:id="193929672">
      <w:bodyDiv w:val="1"/>
      <w:marLeft w:val="0"/>
      <w:marRight w:val="0"/>
      <w:marTop w:val="0"/>
      <w:marBottom w:val="0"/>
      <w:divBdr>
        <w:top w:val="none" w:sz="0" w:space="0" w:color="auto"/>
        <w:left w:val="none" w:sz="0" w:space="0" w:color="auto"/>
        <w:bottom w:val="none" w:sz="0" w:space="0" w:color="auto"/>
        <w:right w:val="none" w:sz="0" w:space="0" w:color="auto"/>
      </w:divBdr>
    </w:div>
    <w:div w:id="195192938">
      <w:bodyDiv w:val="1"/>
      <w:marLeft w:val="0"/>
      <w:marRight w:val="0"/>
      <w:marTop w:val="0"/>
      <w:marBottom w:val="0"/>
      <w:divBdr>
        <w:top w:val="none" w:sz="0" w:space="0" w:color="auto"/>
        <w:left w:val="none" w:sz="0" w:space="0" w:color="auto"/>
        <w:bottom w:val="none" w:sz="0" w:space="0" w:color="auto"/>
        <w:right w:val="none" w:sz="0" w:space="0" w:color="auto"/>
      </w:divBdr>
    </w:div>
    <w:div w:id="197205756">
      <w:bodyDiv w:val="1"/>
      <w:marLeft w:val="0"/>
      <w:marRight w:val="0"/>
      <w:marTop w:val="0"/>
      <w:marBottom w:val="0"/>
      <w:divBdr>
        <w:top w:val="none" w:sz="0" w:space="0" w:color="auto"/>
        <w:left w:val="none" w:sz="0" w:space="0" w:color="auto"/>
        <w:bottom w:val="none" w:sz="0" w:space="0" w:color="auto"/>
        <w:right w:val="none" w:sz="0" w:space="0" w:color="auto"/>
      </w:divBdr>
    </w:div>
    <w:div w:id="211426500">
      <w:bodyDiv w:val="1"/>
      <w:marLeft w:val="0"/>
      <w:marRight w:val="0"/>
      <w:marTop w:val="0"/>
      <w:marBottom w:val="0"/>
      <w:divBdr>
        <w:top w:val="none" w:sz="0" w:space="0" w:color="auto"/>
        <w:left w:val="none" w:sz="0" w:space="0" w:color="auto"/>
        <w:bottom w:val="none" w:sz="0" w:space="0" w:color="auto"/>
        <w:right w:val="none" w:sz="0" w:space="0" w:color="auto"/>
      </w:divBdr>
    </w:div>
    <w:div w:id="213737121">
      <w:bodyDiv w:val="1"/>
      <w:marLeft w:val="0"/>
      <w:marRight w:val="0"/>
      <w:marTop w:val="0"/>
      <w:marBottom w:val="0"/>
      <w:divBdr>
        <w:top w:val="none" w:sz="0" w:space="0" w:color="auto"/>
        <w:left w:val="none" w:sz="0" w:space="0" w:color="auto"/>
        <w:bottom w:val="none" w:sz="0" w:space="0" w:color="auto"/>
        <w:right w:val="none" w:sz="0" w:space="0" w:color="auto"/>
      </w:divBdr>
    </w:div>
    <w:div w:id="214198537">
      <w:bodyDiv w:val="1"/>
      <w:marLeft w:val="0"/>
      <w:marRight w:val="0"/>
      <w:marTop w:val="0"/>
      <w:marBottom w:val="0"/>
      <w:divBdr>
        <w:top w:val="none" w:sz="0" w:space="0" w:color="auto"/>
        <w:left w:val="none" w:sz="0" w:space="0" w:color="auto"/>
        <w:bottom w:val="none" w:sz="0" w:space="0" w:color="auto"/>
        <w:right w:val="none" w:sz="0" w:space="0" w:color="auto"/>
      </w:divBdr>
    </w:div>
    <w:div w:id="220211525">
      <w:bodyDiv w:val="1"/>
      <w:marLeft w:val="0"/>
      <w:marRight w:val="0"/>
      <w:marTop w:val="0"/>
      <w:marBottom w:val="0"/>
      <w:divBdr>
        <w:top w:val="none" w:sz="0" w:space="0" w:color="auto"/>
        <w:left w:val="none" w:sz="0" w:space="0" w:color="auto"/>
        <w:bottom w:val="none" w:sz="0" w:space="0" w:color="auto"/>
        <w:right w:val="none" w:sz="0" w:space="0" w:color="auto"/>
      </w:divBdr>
    </w:div>
    <w:div w:id="222372833">
      <w:bodyDiv w:val="1"/>
      <w:marLeft w:val="0"/>
      <w:marRight w:val="0"/>
      <w:marTop w:val="0"/>
      <w:marBottom w:val="0"/>
      <w:divBdr>
        <w:top w:val="none" w:sz="0" w:space="0" w:color="auto"/>
        <w:left w:val="none" w:sz="0" w:space="0" w:color="auto"/>
        <w:bottom w:val="none" w:sz="0" w:space="0" w:color="auto"/>
        <w:right w:val="none" w:sz="0" w:space="0" w:color="auto"/>
      </w:divBdr>
    </w:div>
    <w:div w:id="229853049">
      <w:bodyDiv w:val="1"/>
      <w:marLeft w:val="0"/>
      <w:marRight w:val="0"/>
      <w:marTop w:val="0"/>
      <w:marBottom w:val="0"/>
      <w:divBdr>
        <w:top w:val="none" w:sz="0" w:space="0" w:color="auto"/>
        <w:left w:val="none" w:sz="0" w:space="0" w:color="auto"/>
        <w:bottom w:val="none" w:sz="0" w:space="0" w:color="auto"/>
        <w:right w:val="none" w:sz="0" w:space="0" w:color="auto"/>
      </w:divBdr>
    </w:div>
    <w:div w:id="231239684">
      <w:bodyDiv w:val="1"/>
      <w:marLeft w:val="0"/>
      <w:marRight w:val="0"/>
      <w:marTop w:val="0"/>
      <w:marBottom w:val="0"/>
      <w:divBdr>
        <w:top w:val="none" w:sz="0" w:space="0" w:color="auto"/>
        <w:left w:val="none" w:sz="0" w:space="0" w:color="auto"/>
        <w:bottom w:val="none" w:sz="0" w:space="0" w:color="auto"/>
        <w:right w:val="none" w:sz="0" w:space="0" w:color="auto"/>
      </w:divBdr>
    </w:div>
    <w:div w:id="231816320">
      <w:bodyDiv w:val="1"/>
      <w:marLeft w:val="0"/>
      <w:marRight w:val="0"/>
      <w:marTop w:val="0"/>
      <w:marBottom w:val="0"/>
      <w:divBdr>
        <w:top w:val="none" w:sz="0" w:space="0" w:color="auto"/>
        <w:left w:val="none" w:sz="0" w:space="0" w:color="auto"/>
        <w:bottom w:val="none" w:sz="0" w:space="0" w:color="auto"/>
        <w:right w:val="none" w:sz="0" w:space="0" w:color="auto"/>
      </w:divBdr>
    </w:div>
    <w:div w:id="233053611">
      <w:bodyDiv w:val="1"/>
      <w:marLeft w:val="0"/>
      <w:marRight w:val="0"/>
      <w:marTop w:val="0"/>
      <w:marBottom w:val="0"/>
      <w:divBdr>
        <w:top w:val="none" w:sz="0" w:space="0" w:color="auto"/>
        <w:left w:val="none" w:sz="0" w:space="0" w:color="auto"/>
        <w:bottom w:val="none" w:sz="0" w:space="0" w:color="auto"/>
        <w:right w:val="none" w:sz="0" w:space="0" w:color="auto"/>
      </w:divBdr>
    </w:div>
    <w:div w:id="233122958">
      <w:bodyDiv w:val="1"/>
      <w:marLeft w:val="0"/>
      <w:marRight w:val="0"/>
      <w:marTop w:val="0"/>
      <w:marBottom w:val="0"/>
      <w:divBdr>
        <w:top w:val="none" w:sz="0" w:space="0" w:color="auto"/>
        <w:left w:val="none" w:sz="0" w:space="0" w:color="auto"/>
        <w:bottom w:val="none" w:sz="0" w:space="0" w:color="auto"/>
        <w:right w:val="none" w:sz="0" w:space="0" w:color="auto"/>
      </w:divBdr>
    </w:div>
    <w:div w:id="233246372">
      <w:bodyDiv w:val="1"/>
      <w:marLeft w:val="0"/>
      <w:marRight w:val="0"/>
      <w:marTop w:val="0"/>
      <w:marBottom w:val="0"/>
      <w:divBdr>
        <w:top w:val="none" w:sz="0" w:space="0" w:color="auto"/>
        <w:left w:val="none" w:sz="0" w:space="0" w:color="auto"/>
        <w:bottom w:val="none" w:sz="0" w:space="0" w:color="auto"/>
        <w:right w:val="none" w:sz="0" w:space="0" w:color="auto"/>
      </w:divBdr>
    </w:div>
    <w:div w:id="239486090">
      <w:bodyDiv w:val="1"/>
      <w:marLeft w:val="0"/>
      <w:marRight w:val="0"/>
      <w:marTop w:val="0"/>
      <w:marBottom w:val="0"/>
      <w:divBdr>
        <w:top w:val="none" w:sz="0" w:space="0" w:color="auto"/>
        <w:left w:val="none" w:sz="0" w:space="0" w:color="auto"/>
        <w:bottom w:val="none" w:sz="0" w:space="0" w:color="auto"/>
        <w:right w:val="none" w:sz="0" w:space="0" w:color="auto"/>
      </w:divBdr>
    </w:div>
    <w:div w:id="240409920">
      <w:bodyDiv w:val="1"/>
      <w:marLeft w:val="0"/>
      <w:marRight w:val="0"/>
      <w:marTop w:val="0"/>
      <w:marBottom w:val="0"/>
      <w:divBdr>
        <w:top w:val="none" w:sz="0" w:space="0" w:color="auto"/>
        <w:left w:val="none" w:sz="0" w:space="0" w:color="auto"/>
        <w:bottom w:val="none" w:sz="0" w:space="0" w:color="auto"/>
        <w:right w:val="none" w:sz="0" w:space="0" w:color="auto"/>
      </w:divBdr>
    </w:div>
    <w:div w:id="248078940">
      <w:bodyDiv w:val="1"/>
      <w:marLeft w:val="0"/>
      <w:marRight w:val="0"/>
      <w:marTop w:val="0"/>
      <w:marBottom w:val="0"/>
      <w:divBdr>
        <w:top w:val="none" w:sz="0" w:space="0" w:color="auto"/>
        <w:left w:val="none" w:sz="0" w:space="0" w:color="auto"/>
        <w:bottom w:val="none" w:sz="0" w:space="0" w:color="auto"/>
        <w:right w:val="none" w:sz="0" w:space="0" w:color="auto"/>
      </w:divBdr>
    </w:div>
    <w:div w:id="253978846">
      <w:bodyDiv w:val="1"/>
      <w:marLeft w:val="0"/>
      <w:marRight w:val="0"/>
      <w:marTop w:val="0"/>
      <w:marBottom w:val="0"/>
      <w:divBdr>
        <w:top w:val="none" w:sz="0" w:space="0" w:color="auto"/>
        <w:left w:val="none" w:sz="0" w:space="0" w:color="auto"/>
        <w:bottom w:val="none" w:sz="0" w:space="0" w:color="auto"/>
        <w:right w:val="none" w:sz="0" w:space="0" w:color="auto"/>
      </w:divBdr>
    </w:div>
    <w:div w:id="257639764">
      <w:bodyDiv w:val="1"/>
      <w:marLeft w:val="0"/>
      <w:marRight w:val="0"/>
      <w:marTop w:val="0"/>
      <w:marBottom w:val="0"/>
      <w:divBdr>
        <w:top w:val="none" w:sz="0" w:space="0" w:color="auto"/>
        <w:left w:val="none" w:sz="0" w:space="0" w:color="auto"/>
        <w:bottom w:val="none" w:sz="0" w:space="0" w:color="auto"/>
        <w:right w:val="none" w:sz="0" w:space="0" w:color="auto"/>
      </w:divBdr>
    </w:div>
    <w:div w:id="257643474">
      <w:bodyDiv w:val="1"/>
      <w:marLeft w:val="0"/>
      <w:marRight w:val="0"/>
      <w:marTop w:val="0"/>
      <w:marBottom w:val="0"/>
      <w:divBdr>
        <w:top w:val="none" w:sz="0" w:space="0" w:color="auto"/>
        <w:left w:val="none" w:sz="0" w:space="0" w:color="auto"/>
        <w:bottom w:val="none" w:sz="0" w:space="0" w:color="auto"/>
        <w:right w:val="none" w:sz="0" w:space="0" w:color="auto"/>
      </w:divBdr>
    </w:div>
    <w:div w:id="260456029">
      <w:bodyDiv w:val="1"/>
      <w:marLeft w:val="0"/>
      <w:marRight w:val="0"/>
      <w:marTop w:val="0"/>
      <w:marBottom w:val="0"/>
      <w:divBdr>
        <w:top w:val="none" w:sz="0" w:space="0" w:color="auto"/>
        <w:left w:val="none" w:sz="0" w:space="0" w:color="auto"/>
        <w:bottom w:val="none" w:sz="0" w:space="0" w:color="auto"/>
        <w:right w:val="none" w:sz="0" w:space="0" w:color="auto"/>
      </w:divBdr>
    </w:div>
    <w:div w:id="262303182">
      <w:bodyDiv w:val="1"/>
      <w:marLeft w:val="0"/>
      <w:marRight w:val="0"/>
      <w:marTop w:val="0"/>
      <w:marBottom w:val="0"/>
      <w:divBdr>
        <w:top w:val="none" w:sz="0" w:space="0" w:color="auto"/>
        <w:left w:val="none" w:sz="0" w:space="0" w:color="auto"/>
        <w:bottom w:val="none" w:sz="0" w:space="0" w:color="auto"/>
        <w:right w:val="none" w:sz="0" w:space="0" w:color="auto"/>
      </w:divBdr>
    </w:div>
    <w:div w:id="270480914">
      <w:bodyDiv w:val="1"/>
      <w:marLeft w:val="0"/>
      <w:marRight w:val="0"/>
      <w:marTop w:val="0"/>
      <w:marBottom w:val="0"/>
      <w:divBdr>
        <w:top w:val="none" w:sz="0" w:space="0" w:color="auto"/>
        <w:left w:val="none" w:sz="0" w:space="0" w:color="auto"/>
        <w:bottom w:val="none" w:sz="0" w:space="0" w:color="auto"/>
        <w:right w:val="none" w:sz="0" w:space="0" w:color="auto"/>
      </w:divBdr>
    </w:div>
    <w:div w:id="275021692">
      <w:bodyDiv w:val="1"/>
      <w:marLeft w:val="0"/>
      <w:marRight w:val="0"/>
      <w:marTop w:val="0"/>
      <w:marBottom w:val="0"/>
      <w:divBdr>
        <w:top w:val="none" w:sz="0" w:space="0" w:color="auto"/>
        <w:left w:val="none" w:sz="0" w:space="0" w:color="auto"/>
        <w:bottom w:val="none" w:sz="0" w:space="0" w:color="auto"/>
        <w:right w:val="none" w:sz="0" w:space="0" w:color="auto"/>
      </w:divBdr>
    </w:div>
    <w:div w:id="275451324">
      <w:bodyDiv w:val="1"/>
      <w:marLeft w:val="0"/>
      <w:marRight w:val="0"/>
      <w:marTop w:val="0"/>
      <w:marBottom w:val="0"/>
      <w:divBdr>
        <w:top w:val="none" w:sz="0" w:space="0" w:color="auto"/>
        <w:left w:val="none" w:sz="0" w:space="0" w:color="auto"/>
        <w:bottom w:val="none" w:sz="0" w:space="0" w:color="auto"/>
        <w:right w:val="none" w:sz="0" w:space="0" w:color="auto"/>
      </w:divBdr>
    </w:div>
    <w:div w:id="278414674">
      <w:bodyDiv w:val="1"/>
      <w:marLeft w:val="0"/>
      <w:marRight w:val="0"/>
      <w:marTop w:val="0"/>
      <w:marBottom w:val="0"/>
      <w:divBdr>
        <w:top w:val="none" w:sz="0" w:space="0" w:color="auto"/>
        <w:left w:val="none" w:sz="0" w:space="0" w:color="auto"/>
        <w:bottom w:val="none" w:sz="0" w:space="0" w:color="auto"/>
        <w:right w:val="none" w:sz="0" w:space="0" w:color="auto"/>
      </w:divBdr>
    </w:div>
    <w:div w:id="279386544">
      <w:bodyDiv w:val="1"/>
      <w:marLeft w:val="0"/>
      <w:marRight w:val="0"/>
      <w:marTop w:val="0"/>
      <w:marBottom w:val="0"/>
      <w:divBdr>
        <w:top w:val="none" w:sz="0" w:space="0" w:color="auto"/>
        <w:left w:val="none" w:sz="0" w:space="0" w:color="auto"/>
        <w:bottom w:val="none" w:sz="0" w:space="0" w:color="auto"/>
        <w:right w:val="none" w:sz="0" w:space="0" w:color="auto"/>
      </w:divBdr>
    </w:div>
    <w:div w:id="280309552">
      <w:bodyDiv w:val="1"/>
      <w:marLeft w:val="0"/>
      <w:marRight w:val="0"/>
      <w:marTop w:val="0"/>
      <w:marBottom w:val="0"/>
      <w:divBdr>
        <w:top w:val="none" w:sz="0" w:space="0" w:color="auto"/>
        <w:left w:val="none" w:sz="0" w:space="0" w:color="auto"/>
        <w:bottom w:val="none" w:sz="0" w:space="0" w:color="auto"/>
        <w:right w:val="none" w:sz="0" w:space="0" w:color="auto"/>
      </w:divBdr>
    </w:div>
    <w:div w:id="286739957">
      <w:bodyDiv w:val="1"/>
      <w:marLeft w:val="0"/>
      <w:marRight w:val="0"/>
      <w:marTop w:val="0"/>
      <w:marBottom w:val="0"/>
      <w:divBdr>
        <w:top w:val="none" w:sz="0" w:space="0" w:color="auto"/>
        <w:left w:val="none" w:sz="0" w:space="0" w:color="auto"/>
        <w:bottom w:val="none" w:sz="0" w:space="0" w:color="auto"/>
        <w:right w:val="none" w:sz="0" w:space="0" w:color="auto"/>
      </w:divBdr>
    </w:div>
    <w:div w:id="288558056">
      <w:bodyDiv w:val="1"/>
      <w:marLeft w:val="0"/>
      <w:marRight w:val="0"/>
      <w:marTop w:val="0"/>
      <w:marBottom w:val="0"/>
      <w:divBdr>
        <w:top w:val="none" w:sz="0" w:space="0" w:color="auto"/>
        <w:left w:val="none" w:sz="0" w:space="0" w:color="auto"/>
        <w:bottom w:val="none" w:sz="0" w:space="0" w:color="auto"/>
        <w:right w:val="none" w:sz="0" w:space="0" w:color="auto"/>
      </w:divBdr>
    </w:div>
    <w:div w:id="293146432">
      <w:bodyDiv w:val="1"/>
      <w:marLeft w:val="0"/>
      <w:marRight w:val="0"/>
      <w:marTop w:val="0"/>
      <w:marBottom w:val="0"/>
      <w:divBdr>
        <w:top w:val="none" w:sz="0" w:space="0" w:color="auto"/>
        <w:left w:val="none" w:sz="0" w:space="0" w:color="auto"/>
        <w:bottom w:val="none" w:sz="0" w:space="0" w:color="auto"/>
        <w:right w:val="none" w:sz="0" w:space="0" w:color="auto"/>
      </w:divBdr>
    </w:div>
    <w:div w:id="294995357">
      <w:bodyDiv w:val="1"/>
      <w:marLeft w:val="0"/>
      <w:marRight w:val="0"/>
      <w:marTop w:val="0"/>
      <w:marBottom w:val="0"/>
      <w:divBdr>
        <w:top w:val="none" w:sz="0" w:space="0" w:color="auto"/>
        <w:left w:val="none" w:sz="0" w:space="0" w:color="auto"/>
        <w:bottom w:val="none" w:sz="0" w:space="0" w:color="auto"/>
        <w:right w:val="none" w:sz="0" w:space="0" w:color="auto"/>
      </w:divBdr>
    </w:div>
    <w:div w:id="296958008">
      <w:bodyDiv w:val="1"/>
      <w:marLeft w:val="0"/>
      <w:marRight w:val="0"/>
      <w:marTop w:val="0"/>
      <w:marBottom w:val="0"/>
      <w:divBdr>
        <w:top w:val="none" w:sz="0" w:space="0" w:color="auto"/>
        <w:left w:val="none" w:sz="0" w:space="0" w:color="auto"/>
        <w:bottom w:val="none" w:sz="0" w:space="0" w:color="auto"/>
        <w:right w:val="none" w:sz="0" w:space="0" w:color="auto"/>
      </w:divBdr>
    </w:div>
    <w:div w:id="307590637">
      <w:bodyDiv w:val="1"/>
      <w:marLeft w:val="0"/>
      <w:marRight w:val="0"/>
      <w:marTop w:val="0"/>
      <w:marBottom w:val="0"/>
      <w:divBdr>
        <w:top w:val="none" w:sz="0" w:space="0" w:color="auto"/>
        <w:left w:val="none" w:sz="0" w:space="0" w:color="auto"/>
        <w:bottom w:val="none" w:sz="0" w:space="0" w:color="auto"/>
        <w:right w:val="none" w:sz="0" w:space="0" w:color="auto"/>
      </w:divBdr>
    </w:div>
    <w:div w:id="313803897">
      <w:bodyDiv w:val="1"/>
      <w:marLeft w:val="0"/>
      <w:marRight w:val="0"/>
      <w:marTop w:val="0"/>
      <w:marBottom w:val="0"/>
      <w:divBdr>
        <w:top w:val="none" w:sz="0" w:space="0" w:color="auto"/>
        <w:left w:val="none" w:sz="0" w:space="0" w:color="auto"/>
        <w:bottom w:val="none" w:sz="0" w:space="0" w:color="auto"/>
        <w:right w:val="none" w:sz="0" w:space="0" w:color="auto"/>
      </w:divBdr>
    </w:div>
    <w:div w:id="315453383">
      <w:bodyDiv w:val="1"/>
      <w:marLeft w:val="0"/>
      <w:marRight w:val="0"/>
      <w:marTop w:val="0"/>
      <w:marBottom w:val="0"/>
      <w:divBdr>
        <w:top w:val="none" w:sz="0" w:space="0" w:color="auto"/>
        <w:left w:val="none" w:sz="0" w:space="0" w:color="auto"/>
        <w:bottom w:val="none" w:sz="0" w:space="0" w:color="auto"/>
        <w:right w:val="none" w:sz="0" w:space="0" w:color="auto"/>
      </w:divBdr>
    </w:div>
    <w:div w:id="315456121">
      <w:bodyDiv w:val="1"/>
      <w:marLeft w:val="0"/>
      <w:marRight w:val="0"/>
      <w:marTop w:val="0"/>
      <w:marBottom w:val="0"/>
      <w:divBdr>
        <w:top w:val="none" w:sz="0" w:space="0" w:color="auto"/>
        <w:left w:val="none" w:sz="0" w:space="0" w:color="auto"/>
        <w:bottom w:val="none" w:sz="0" w:space="0" w:color="auto"/>
        <w:right w:val="none" w:sz="0" w:space="0" w:color="auto"/>
      </w:divBdr>
    </w:div>
    <w:div w:id="323123254">
      <w:bodyDiv w:val="1"/>
      <w:marLeft w:val="0"/>
      <w:marRight w:val="0"/>
      <w:marTop w:val="0"/>
      <w:marBottom w:val="0"/>
      <w:divBdr>
        <w:top w:val="none" w:sz="0" w:space="0" w:color="auto"/>
        <w:left w:val="none" w:sz="0" w:space="0" w:color="auto"/>
        <w:bottom w:val="none" w:sz="0" w:space="0" w:color="auto"/>
        <w:right w:val="none" w:sz="0" w:space="0" w:color="auto"/>
      </w:divBdr>
    </w:div>
    <w:div w:id="325132600">
      <w:bodyDiv w:val="1"/>
      <w:marLeft w:val="0"/>
      <w:marRight w:val="0"/>
      <w:marTop w:val="0"/>
      <w:marBottom w:val="0"/>
      <w:divBdr>
        <w:top w:val="none" w:sz="0" w:space="0" w:color="auto"/>
        <w:left w:val="none" w:sz="0" w:space="0" w:color="auto"/>
        <w:bottom w:val="none" w:sz="0" w:space="0" w:color="auto"/>
        <w:right w:val="none" w:sz="0" w:space="0" w:color="auto"/>
      </w:divBdr>
    </w:div>
    <w:div w:id="326129254">
      <w:bodyDiv w:val="1"/>
      <w:marLeft w:val="0"/>
      <w:marRight w:val="0"/>
      <w:marTop w:val="0"/>
      <w:marBottom w:val="0"/>
      <w:divBdr>
        <w:top w:val="none" w:sz="0" w:space="0" w:color="auto"/>
        <w:left w:val="none" w:sz="0" w:space="0" w:color="auto"/>
        <w:bottom w:val="none" w:sz="0" w:space="0" w:color="auto"/>
        <w:right w:val="none" w:sz="0" w:space="0" w:color="auto"/>
      </w:divBdr>
    </w:div>
    <w:div w:id="330960264">
      <w:bodyDiv w:val="1"/>
      <w:marLeft w:val="0"/>
      <w:marRight w:val="0"/>
      <w:marTop w:val="0"/>
      <w:marBottom w:val="0"/>
      <w:divBdr>
        <w:top w:val="none" w:sz="0" w:space="0" w:color="auto"/>
        <w:left w:val="none" w:sz="0" w:space="0" w:color="auto"/>
        <w:bottom w:val="none" w:sz="0" w:space="0" w:color="auto"/>
        <w:right w:val="none" w:sz="0" w:space="0" w:color="auto"/>
      </w:divBdr>
    </w:div>
    <w:div w:id="332221179">
      <w:bodyDiv w:val="1"/>
      <w:marLeft w:val="0"/>
      <w:marRight w:val="0"/>
      <w:marTop w:val="0"/>
      <w:marBottom w:val="0"/>
      <w:divBdr>
        <w:top w:val="none" w:sz="0" w:space="0" w:color="auto"/>
        <w:left w:val="none" w:sz="0" w:space="0" w:color="auto"/>
        <w:bottom w:val="none" w:sz="0" w:space="0" w:color="auto"/>
        <w:right w:val="none" w:sz="0" w:space="0" w:color="auto"/>
      </w:divBdr>
    </w:div>
    <w:div w:id="334844492">
      <w:bodyDiv w:val="1"/>
      <w:marLeft w:val="0"/>
      <w:marRight w:val="0"/>
      <w:marTop w:val="0"/>
      <w:marBottom w:val="0"/>
      <w:divBdr>
        <w:top w:val="none" w:sz="0" w:space="0" w:color="auto"/>
        <w:left w:val="none" w:sz="0" w:space="0" w:color="auto"/>
        <w:bottom w:val="none" w:sz="0" w:space="0" w:color="auto"/>
        <w:right w:val="none" w:sz="0" w:space="0" w:color="auto"/>
      </w:divBdr>
    </w:div>
    <w:div w:id="335689994">
      <w:bodyDiv w:val="1"/>
      <w:marLeft w:val="0"/>
      <w:marRight w:val="0"/>
      <w:marTop w:val="0"/>
      <w:marBottom w:val="0"/>
      <w:divBdr>
        <w:top w:val="none" w:sz="0" w:space="0" w:color="auto"/>
        <w:left w:val="none" w:sz="0" w:space="0" w:color="auto"/>
        <w:bottom w:val="none" w:sz="0" w:space="0" w:color="auto"/>
        <w:right w:val="none" w:sz="0" w:space="0" w:color="auto"/>
      </w:divBdr>
    </w:div>
    <w:div w:id="337199891">
      <w:bodyDiv w:val="1"/>
      <w:marLeft w:val="0"/>
      <w:marRight w:val="0"/>
      <w:marTop w:val="0"/>
      <w:marBottom w:val="0"/>
      <w:divBdr>
        <w:top w:val="none" w:sz="0" w:space="0" w:color="auto"/>
        <w:left w:val="none" w:sz="0" w:space="0" w:color="auto"/>
        <w:bottom w:val="none" w:sz="0" w:space="0" w:color="auto"/>
        <w:right w:val="none" w:sz="0" w:space="0" w:color="auto"/>
      </w:divBdr>
    </w:div>
    <w:div w:id="341780252">
      <w:bodyDiv w:val="1"/>
      <w:marLeft w:val="0"/>
      <w:marRight w:val="0"/>
      <w:marTop w:val="0"/>
      <w:marBottom w:val="0"/>
      <w:divBdr>
        <w:top w:val="none" w:sz="0" w:space="0" w:color="auto"/>
        <w:left w:val="none" w:sz="0" w:space="0" w:color="auto"/>
        <w:bottom w:val="none" w:sz="0" w:space="0" w:color="auto"/>
        <w:right w:val="none" w:sz="0" w:space="0" w:color="auto"/>
      </w:divBdr>
    </w:div>
    <w:div w:id="343481178">
      <w:bodyDiv w:val="1"/>
      <w:marLeft w:val="0"/>
      <w:marRight w:val="0"/>
      <w:marTop w:val="0"/>
      <w:marBottom w:val="0"/>
      <w:divBdr>
        <w:top w:val="none" w:sz="0" w:space="0" w:color="auto"/>
        <w:left w:val="none" w:sz="0" w:space="0" w:color="auto"/>
        <w:bottom w:val="none" w:sz="0" w:space="0" w:color="auto"/>
        <w:right w:val="none" w:sz="0" w:space="0" w:color="auto"/>
      </w:divBdr>
    </w:div>
    <w:div w:id="343823650">
      <w:bodyDiv w:val="1"/>
      <w:marLeft w:val="0"/>
      <w:marRight w:val="0"/>
      <w:marTop w:val="0"/>
      <w:marBottom w:val="0"/>
      <w:divBdr>
        <w:top w:val="none" w:sz="0" w:space="0" w:color="auto"/>
        <w:left w:val="none" w:sz="0" w:space="0" w:color="auto"/>
        <w:bottom w:val="none" w:sz="0" w:space="0" w:color="auto"/>
        <w:right w:val="none" w:sz="0" w:space="0" w:color="auto"/>
      </w:divBdr>
    </w:div>
    <w:div w:id="345788891">
      <w:bodyDiv w:val="1"/>
      <w:marLeft w:val="0"/>
      <w:marRight w:val="0"/>
      <w:marTop w:val="0"/>
      <w:marBottom w:val="0"/>
      <w:divBdr>
        <w:top w:val="none" w:sz="0" w:space="0" w:color="auto"/>
        <w:left w:val="none" w:sz="0" w:space="0" w:color="auto"/>
        <w:bottom w:val="none" w:sz="0" w:space="0" w:color="auto"/>
        <w:right w:val="none" w:sz="0" w:space="0" w:color="auto"/>
      </w:divBdr>
    </w:div>
    <w:div w:id="347801658">
      <w:bodyDiv w:val="1"/>
      <w:marLeft w:val="0"/>
      <w:marRight w:val="0"/>
      <w:marTop w:val="0"/>
      <w:marBottom w:val="0"/>
      <w:divBdr>
        <w:top w:val="none" w:sz="0" w:space="0" w:color="auto"/>
        <w:left w:val="none" w:sz="0" w:space="0" w:color="auto"/>
        <w:bottom w:val="none" w:sz="0" w:space="0" w:color="auto"/>
        <w:right w:val="none" w:sz="0" w:space="0" w:color="auto"/>
      </w:divBdr>
    </w:div>
    <w:div w:id="352387773">
      <w:bodyDiv w:val="1"/>
      <w:marLeft w:val="0"/>
      <w:marRight w:val="0"/>
      <w:marTop w:val="0"/>
      <w:marBottom w:val="0"/>
      <w:divBdr>
        <w:top w:val="none" w:sz="0" w:space="0" w:color="auto"/>
        <w:left w:val="none" w:sz="0" w:space="0" w:color="auto"/>
        <w:bottom w:val="none" w:sz="0" w:space="0" w:color="auto"/>
        <w:right w:val="none" w:sz="0" w:space="0" w:color="auto"/>
      </w:divBdr>
    </w:div>
    <w:div w:id="355929546">
      <w:bodyDiv w:val="1"/>
      <w:marLeft w:val="0"/>
      <w:marRight w:val="0"/>
      <w:marTop w:val="0"/>
      <w:marBottom w:val="0"/>
      <w:divBdr>
        <w:top w:val="none" w:sz="0" w:space="0" w:color="auto"/>
        <w:left w:val="none" w:sz="0" w:space="0" w:color="auto"/>
        <w:bottom w:val="none" w:sz="0" w:space="0" w:color="auto"/>
        <w:right w:val="none" w:sz="0" w:space="0" w:color="auto"/>
      </w:divBdr>
    </w:div>
    <w:div w:id="357045559">
      <w:bodyDiv w:val="1"/>
      <w:marLeft w:val="0"/>
      <w:marRight w:val="0"/>
      <w:marTop w:val="0"/>
      <w:marBottom w:val="0"/>
      <w:divBdr>
        <w:top w:val="none" w:sz="0" w:space="0" w:color="auto"/>
        <w:left w:val="none" w:sz="0" w:space="0" w:color="auto"/>
        <w:bottom w:val="none" w:sz="0" w:space="0" w:color="auto"/>
        <w:right w:val="none" w:sz="0" w:space="0" w:color="auto"/>
      </w:divBdr>
    </w:div>
    <w:div w:id="360327643">
      <w:bodyDiv w:val="1"/>
      <w:marLeft w:val="0"/>
      <w:marRight w:val="0"/>
      <w:marTop w:val="0"/>
      <w:marBottom w:val="0"/>
      <w:divBdr>
        <w:top w:val="none" w:sz="0" w:space="0" w:color="auto"/>
        <w:left w:val="none" w:sz="0" w:space="0" w:color="auto"/>
        <w:bottom w:val="none" w:sz="0" w:space="0" w:color="auto"/>
        <w:right w:val="none" w:sz="0" w:space="0" w:color="auto"/>
      </w:divBdr>
    </w:div>
    <w:div w:id="361244806">
      <w:bodyDiv w:val="1"/>
      <w:marLeft w:val="0"/>
      <w:marRight w:val="0"/>
      <w:marTop w:val="0"/>
      <w:marBottom w:val="0"/>
      <w:divBdr>
        <w:top w:val="none" w:sz="0" w:space="0" w:color="auto"/>
        <w:left w:val="none" w:sz="0" w:space="0" w:color="auto"/>
        <w:bottom w:val="none" w:sz="0" w:space="0" w:color="auto"/>
        <w:right w:val="none" w:sz="0" w:space="0" w:color="auto"/>
      </w:divBdr>
    </w:div>
    <w:div w:id="362440954">
      <w:bodyDiv w:val="1"/>
      <w:marLeft w:val="0"/>
      <w:marRight w:val="0"/>
      <w:marTop w:val="0"/>
      <w:marBottom w:val="0"/>
      <w:divBdr>
        <w:top w:val="none" w:sz="0" w:space="0" w:color="auto"/>
        <w:left w:val="none" w:sz="0" w:space="0" w:color="auto"/>
        <w:bottom w:val="none" w:sz="0" w:space="0" w:color="auto"/>
        <w:right w:val="none" w:sz="0" w:space="0" w:color="auto"/>
      </w:divBdr>
    </w:div>
    <w:div w:id="372655964">
      <w:bodyDiv w:val="1"/>
      <w:marLeft w:val="0"/>
      <w:marRight w:val="0"/>
      <w:marTop w:val="0"/>
      <w:marBottom w:val="0"/>
      <w:divBdr>
        <w:top w:val="none" w:sz="0" w:space="0" w:color="auto"/>
        <w:left w:val="none" w:sz="0" w:space="0" w:color="auto"/>
        <w:bottom w:val="none" w:sz="0" w:space="0" w:color="auto"/>
        <w:right w:val="none" w:sz="0" w:space="0" w:color="auto"/>
      </w:divBdr>
    </w:div>
    <w:div w:id="373890449">
      <w:bodyDiv w:val="1"/>
      <w:marLeft w:val="0"/>
      <w:marRight w:val="0"/>
      <w:marTop w:val="0"/>
      <w:marBottom w:val="0"/>
      <w:divBdr>
        <w:top w:val="none" w:sz="0" w:space="0" w:color="auto"/>
        <w:left w:val="none" w:sz="0" w:space="0" w:color="auto"/>
        <w:bottom w:val="none" w:sz="0" w:space="0" w:color="auto"/>
        <w:right w:val="none" w:sz="0" w:space="0" w:color="auto"/>
      </w:divBdr>
    </w:div>
    <w:div w:id="374424850">
      <w:bodyDiv w:val="1"/>
      <w:marLeft w:val="0"/>
      <w:marRight w:val="0"/>
      <w:marTop w:val="0"/>
      <w:marBottom w:val="0"/>
      <w:divBdr>
        <w:top w:val="none" w:sz="0" w:space="0" w:color="auto"/>
        <w:left w:val="none" w:sz="0" w:space="0" w:color="auto"/>
        <w:bottom w:val="none" w:sz="0" w:space="0" w:color="auto"/>
        <w:right w:val="none" w:sz="0" w:space="0" w:color="auto"/>
      </w:divBdr>
    </w:div>
    <w:div w:id="374696215">
      <w:bodyDiv w:val="1"/>
      <w:marLeft w:val="0"/>
      <w:marRight w:val="0"/>
      <w:marTop w:val="0"/>
      <w:marBottom w:val="0"/>
      <w:divBdr>
        <w:top w:val="none" w:sz="0" w:space="0" w:color="auto"/>
        <w:left w:val="none" w:sz="0" w:space="0" w:color="auto"/>
        <w:bottom w:val="none" w:sz="0" w:space="0" w:color="auto"/>
        <w:right w:val="none" w:sz="0" w:space="0" w:color="auto"/>
      </w:divBdr>
    </w:div>
    <w:div w:id="380136441">
      <w:bodyDiv w:val="1"/>
      <w:marLeft w:val="0"/>
      <w:marRight w:val="0"/>
      <w:marTop w:val="0"/>
      <w:marBottom w:val="0"/>
      <w:divBdr>
        <w:top w:val="none" w:sz="0" w:space="0" w:color="auto"/>
        <w:left w:val="none" w:sz="0" w:space="0" w:color="auto"/>
        <w:bottom w:val="none" w:sz="0" w:space="0" w:color="auto"/>
        <w:right w:val="none" w:sz="0" w:space="0" w:color="auto"/>
      </w:divBdr>
    </w:div>
    <w:div w:id="384371718">
      <w:bodyDiv w:val="1"/>
      <w:marLeft w:val="0"/>
      <w:marRight w:val="0"/>
      <w:marTop w:val="0"/>
      <w:marBottom w:val="0"/>
      <w:divBdr>
        <w:top w:val="none" w:sz="0" w:space="0" w:color="auto"/>
        <w:left w:val="none" w:sz="0" w:space="0" w:color="auto"/>
        <w:bottom w:val="none" w:sz="0" w:space="0" w:color="auto"/>
        <w:right w:val="none" w:sz="0" w:space="0" w:color="auto"/>
      </w:divBdr>
    </w:div>
    <w:div w:id="384449456">
      <w:bodyDiv w:val="1"/>
      <w:marLeft w:val="0"/>
      <w:marRight w:val="0"/>
      <w:marTop w:val="0"/>
      <w:marBottom w:val="0"/>
      <w:divBdr>
        <w:top w:val="none" w:sz="0" w:space="0" w:color="auto"/>
        <w:left w:val="none" w:sz="0" w:space="0" w:color="auto"/>
        <w:bottom w:val="none" w:sz="0" w:space="0" w:color="auto"/>
        <w:right w:val="none" w:sz="0" w:space="0" w:color="auto"/>
      </w:divBdr>
    </w:div>
    <w:div w:id="391851906">
      <w:bodyDiv w:val="1"/>
      <w:marLeft w:val="0"/>
      <w:marRight w:val="0"/>
      <w:marTop w:val="0"/>
      <w:marBottom w:val="0"/>
      <w:divBdr>
        <w:top w:val="none" w:sz="0" w:space="0" w:color="auto"/>
        <w:left w:val="none" w:sz="0" w:space="0" w:color="auto"/>
        <w:bottom w:val="none" w:sz="0" w:space="0" w:color="auto"/>
        <w:right w:val="none" w:sz="0" w:space="0" w:color="auto"/>
      </w:divBdr>
    </w:div>
    <w:div w:id="392967586">
      <w:bodyDiv w:val="1"/>
      <w:marLeft w:val="0"/>
      <w:marRight w:val="0"/>
      <w:marTop w:val="0"/>
      <w:marBottom w:val="0"/>
      <w:divBdr>
        <w:top w:val="none" w:sz="0" w:space="0" w:color="auto"/>
        <w:left w:val="none" w:sz="0" w:space="0" w:color="auto"/>
        <w:bottom w:val="none" w:sz="0" w:space="0" w:color="auto"/>
        <w:right w:val="none" w:sz="0" w:space="0" w:color="auto"/>
      </w:divBdr>
    </w:div>
    <w:div w:id="406458466">
      <w:bodyDiv w:val="1"/>
      <w:marLeft w:val="0"/>
      <w:marRight w:val="0"/>
      <w:marTop w:val="0"/>
      <w:marBottom w:val="0"/>
      <w:divBdr>
        <w:top w:val="none" w:sz="0" w:space="0" w:color="auto"/>
        <w:left w:val="none" w:sz="0" w:space="0" w:color="auto"/>
        <w:bottom w:val="none" w:sz="0" w:space="0" w:color="auto"/>
        <w:right w:val="none" w:sz="0" w:space="0" w:color="auto"/>
      </w:divBdr>
    </w:div>
    <w:div w:id="407306591">
      <w:bodyDiv w:val="1"/>
      <w:marLeft w:val="0"/>
      <w:marRight w:val="0"/>
      <w:marTop w:val="0"/>
      <w:marBottom w:val="0"/>
      <w:divBdr>
        <w:top w:val="none" w:sz="0" w:space="0" w:color="auto"/>
        <w:left w:val="none" w:sz="0" w:space="0" w:color="auto"/>
        <w:bottom w:val="none" w:sz="0" w:space="0" w:color="auto"/>
        <w:right w:val="none" w:sz="0" w:space="0" w:color="auto"/>
      </w:divBdr>
    </w:div>
    <w:div w:id="407654363">
      <w:bodyDiv w:val="1"/>
      <w:marLeft w:val="0"/>
      <w:marRight w:val="0"/>
      <w:marTop w:val="0"/>
      <w:marBottom w:val="0"/>
      <w:divBdr>
        <w:top w:val="none" w:sz="0" w:space="0" w:color="auto"/>
        <w:left w:val="none" w:sz="0" w:space="0" w:color="auto"/>
        <w:bottom w:val="none" w:sz="0" w:space="0" w:color="auto"/>
        <w:right w:val="none" w:sz="0" w:space="0" w:color="auto"/>
      </w:divBdr>
    </w:div>
    <w:div w:id="411510974">
      <w:bodyDiv w:val="1"/>
      <w:marLeft w:val="0"/>
      <w:marRight w:val="0"/>
      <w:marTop w:val="0"/>
      <w:marBottom w:val="0"/>
      <w:divBdr>
        <w:top w:val="none" w:sz="0" w:space="0" w:color="auto"/>
        <w:left w:val="none" w:sz="0" w:space="0" w:color="auto"/>
        <w:bottom w:val="none" w:sz="0" w:space="0" w:color="auto"/>
        <w:right w:val="none" w:sz="0" w:space="0" w:color="auto"/>
      </w:divBdr>
    </w:div>
    <w:div w:id="411589481">
      <w:bodyDiv w:val="1"/>
      <w:marLeft w:val="0"/>
      <w:marRight w:val="0"/>
      <w:marTop w:val="0"/>
      <w:marBottom w:val="0"/>
      <w:divBdr>
        <w:top w:val="none" w:sz="0" w:space="0" w:color="auto"/>
        <w:left w:val="none" w:sz="0" w:space="0" w:color="auto"/>
        <w:bottom w:val="none" w:sz="0" w:space="0" w:color="auto"/>
        <w:right w:val="none" w:sz="0" w:space="0" w:color="auto"/>
      </w:divBdr>
    </w:div>
    <w:div w:id="415827511">
      <w:bodyDiv w:val="1"/>
      <w:marLeft w:val="0"/>
      <w:marRight w:val="0"/>
      <w:marTop w:val="0"/>
      <w:marBottom w:val="0"/>
      <w:divBdr>
        <w:top w:val="none" w:sz="0" w:space="0" w:color="auto"/>
        <w:left w:val="none" w:sz="0" w:space="0" w:color="auto"/>
        <w:bottom w:val="none" w:sz="0" w:space="0" w:color="auto"/>
        <w:right w:val="none" w:sz="0" w:space="0" w:color="auto"/>
      </w:divBdr>
    </w:div>
    <w:div w:id="418992172">
      <w:bodyDiv w:val="1"/>
      <w:marLeft w:val="0"/>
      <w:marRight w:val="0"/>
      <w:marTop w:val="0"/>
      <w:marBottom w:val="0"/>
      <w:divBdr>
        <w:top w:val="none" w:sz="0" w:space="0" w:color="auto"/>
        <w:left w:val="none" w:sz="0" w:space="0" w:color="auto"/>
        <w:bottom w:val="none" w:sz="0" w:space="0" w:color="auto"/>
        <w:right w:val="none" w:sz="0" w:space="0" w:color="auto"/>
      </w:divBdr>
    </w:div>
    <w:div w:id="423454725">
      <w:bodyDiv w:val="1"/>
      <w:marLeft w:val="0"/>
      <w:marRight w:val="0"/>
      <w:marTop w:val="0"/>
      <w:marBottom w:val="0"/>
      <w:divBdr>
        <w:top w:val="none" w:sz="0" w:space="0" w:color="auto"/>
        <w:left w:val="none" w:sz="0" w:space="0" w:color="auto"/>
        <w:bottom w:val="none" w:sz="0" w:space="0" w:color="auto"/>
        <w:right w:val="none" w:sz="0" w:space="0" w:color="auto"/>
      </w:divBdr>
    </w:div>
    <w:div w:id="426849730">
      <w:bodyDiv w:val="1"/>
      <w:marLeft w:val="0"/>
      <w:marRight w:val="0"/>
      <w:marTop w:val="0"/>
      <w:marBottom w:val="0"/>
      <w:divBdr>
        <w:top w:val="none" w:sz="0" w:space="0" w:color="auto"/>
        <w:left w:val="none" w:sz="0" w:space="0" w:color="auto"/>
        <w:bottom w:val="none" w:sz="0" w:space="0" w:color="auto"/>
        <w:right w:val="none" w:sz="0" w:space="0" w:color="auto"/>
      </w:divBdr>
    </w:div>
    <w:div w:id="427115382">
      <w:bodyDiv w:val="1"/>
      <w:marLeft w:val="0"/>
      <w:marRight w:val="0"/>
      <w:marTop w:val="0"/>
      <w:marBottom w:val="0"/>
      <w:divBdr>
        <w:top w:val="none" w:sz="0" w:space="0" w:color="auto"/>
        <w:left w:val="none" w:sz="0" w:space="0" w:color="auto"/>
        <w:bottom w:val="none" w:sz="0" w:space="0" w:color="auto"/>
        <w:right w:val="none" w:sz="0" w:space="0" w:color="auto"/>
      </w:divBdr>
    </w:div>
    <w:div w:id="427430050">
      <w:bodyDiv w:val="1"/>
      <w:marLeft w:val="0"/>
      <w:marRight w:val="0"/>
      <w:marTop w:val="0"/>
      <w:marBottom w:val="0"/>
      <w:divBdr>
        <w:top w:val="none" w:sz="0" w:space="0" w:color="auto"/>
        <w:left w:val="none" w:sz="0" w:space="0" w:color="auto"/>
        <w:bottom w:val="none" w:sz="0" w:space="0" w:color="auto"/>
        <w:right w:val="none" w:sz="0" w:space="0" w:color="auto"/>
      </w:divBdr>
    </w:div>
    <w:div w:id="428701948">
      <w:bodyDiv w:val="1"/>
      <w:marLeft w:val="0"/>
      <w:marRight w:val="0"/>
      <w:marTop w:val="0"/>
      <w:marBottom w:val="0"/>
      <w:divBdr>
        <w:top w:val="none" w:sz="0" w:space="0" w:color="auto"/>
        <w:left w:val="none" w:sz="0" w:space="0" w:color="auto"/>
        <w:bottom w:val="none" w:sz="0" w:space="0" w:color="auto"/>
        <w:right w:val="none" w:sz="0" w:space="0" w:color="auto"/>
      </w:divBdr>
    </w:div>
    <w:div w:id="431320502">
      <w:bodyDiv w:val="1"/>
      <w:marLeft w:val="0"/>
      <w:marRight w:val="0"/>
      <w:marTop w:val="0"/>
      <w:marBottom w:val="0"/>
      <w:divBdr>
        <w:top w:val="none" w:sz="0" w:space="0" w:color="auto"/>
        <w:left w:val="none" w:sz="0" w:space="0" w:color="auto"/>
        <w:bottom w:val="none" w:sz="0" w:space="0" w:color="auto"/>
        <w:right w:val="none" w:sz="0" w:space="0" w:color="auto"/>
      </w:divBdr>
    </w:div>
    <w:div w:id="432946232">
      <w:bodyDiv w:val="1"/>
      <w:marLeft w:val="0"/>
      <w:marRight w:val="0"/>
      <w:marTop w:val="0"/>
      <w:marBottom w:val="0"/>
      <w:divBdr>
        <w:top w:val="none" w:sz="0" w:space="0" w:color="auto"/>
        <w:left w:val="none" w:sz="0" w:space="0" w:color="auto"/>
        <w:bottom w:val="none" w:sz="0" w:space="0" w:color="auto"/>
        <w:right w:val="none" w:sz="0" w:space="0" w:color="auto"/>
      </w:divBdr>
    </w:div>
    <w:div w:id="437678190">
      <w:bodyDiv w:val="1"/>
      <w:marLeft w:val="0"/>
      <w:marRight w:val="0"/>
      <w:marTop w:val="0"/>
      <w:marBottom w:val="0"/>
      <w:divBdr>
        <w:top w:val="none" w:sz="0" w:space="0" w:color="auto"/>
        <w:left w:val="none" w:sz="0" w:space="0" w:color="auto"/>
        <w:bottom w:val="none" w:sz="0" w:space="0" w:color="auto"/>
        <w:right w:val="none" w:sz="0" w:space="0" w:color="auto"/>
      </w:divBdr>
    </w:div>
    <w:div w:id="438108575">
      <w:bodyDiv w:val="1"/>
      <w:marLeft w:val="0"/>
      <w:marRight w:val="0"/>
      <w:marTop w:val="0"/>
      <w:marBottom w:val="0"/>
      <w:divBdr>
        <w:top w:val="none" w:sz="0" w:space="0" w:color="auto"/>
        <w:left w:val="none" w:sz="0" w:space="0" w:color="auto"/>
        <w:bottom w:val="none" w:sz="0" w:space="0" w:color="auto"/>
        <w:right w:val="none" w:sz="0" w:space="0" w:color="auto"/>
      </w:divBdr>
    </w:div>
    <w:div w:id="439182845">
      <w:bodyDiv w:val="1"/>
      <w:marLeft w:val="0"/>
      <w:marRight w:val="0"/>
      <w:marTop w:val="0"/>
      <w:marBottom w:val="0"/>
      <w:divBdr>
        <w:top w:val="none" w:sz="0" w:space="0" w:color="auto"/>
        <w:left w:val="none" w:sz="0" w:space="0" w:color="auto"/>
        <w:bottom w:val="none" w:sz="0" w:space="0" w:color="auto"/>
        <w:right w:val="none" w:sz="0" w:space="0" w:color="auto"/>
      </w:divBdr>
    </w:div>
    <w:div w:id="441654707">
      <w:bodyDiv w:val="1"/>
      <w:marLeft w:val="0"/>
      <w:marRight w:val="0"/>
      <w:marTop w:val="0"/>
      <w:marBottom w:val="0"/>
      <w:divBdr>
        <w:top w:val="none" w:sz="0" w:space="0" w:color="auto"/>
        <w:left w:val="none" w:sz="0" w:space="0" w:color="auto"/>
        <w:bottom w:val="none" w:sz="0" w:space="0" w:color="auto"/>
        <w:right w:val="none" w:sz="0" w:space="0" w:color="auto"/>
      </w:divBdr>
    </w:div>
    <w:div w:id="444622894">
      <w:bodyDiv w:val="1"/>
      <w:marLeft w:val="0"/>
      <w:marRight w:val="0"/>
      <w:marTop w:val="0"/>
      <w:marBottom w:val="0"/>
      <w:divBdr>
        <w:top w:val="none" w:sz="0" w:space="0" w:color="auto"/>
        <w:left w:val="none" w:sz="0" w:space="0" w:color="auto"/>
        <w:bottom w:val="none" w:sz="0" w:space="0" w:color="auto"/>
        <w:right w:val="none" w:sz="0" w:space="0" w:color="auto"/>
      </w:divBdr>
    </w:div>
    <w:div w:id="445003197">
      <w:bodyDiv w:val="1"/>
      <w:marLeft w:val="0"/>
      <w:marRight w:val="0"/>
      <w:marTop w:val="0"/>
      <w:marBottom w:val="0"/>
      <w:divBdr>
        <w:top w:val="none" w:sz="0" w:space="0" w:color="auto"/>
        <w:left w:val="none" w:sz="0" w:space="0" w:color="auto"/>
        <w:bottom w:val="none" w:sz="0" w:space="0" w:color="auto"/>
        <w:right w:val="none" w:sz="0" w:space="0" w:color="auto"/>
      </w:divBdr>
    </w:div>
    <w:div w:id="447505693">
      <w:bodyDiv w:val="1"/>
      <w:marLeft w:val="0"/>
      <w:marRight w:val="0"/>
      <w:marTop w:val="0"/>
      <w:marBottom w:val="0"/>
      <w:divBdr>
        <w:top w:val="none" w:sz="0" w:space="0" w:color="auto"/>
        <w:left w:val="none" w:sz="0" w:space="0" w:color="auto"/>
        <w:bottom w:val="none" w:sz="0" w:space="0" w:color="auto"/>
        <w:right w:val="none" w:sz="0" w:space="0" w:color="auto"/>
      </w:divBdr>
    </w:div>
    <w:div w:id="447890537">
      <w:bodyDiv w:val="1"/>
      <w:marLeft w:val="0"/>
      <w:marRight w:val="0"/>
      <w:marTop w:val="0"/>
      <w:marBottom w:val="0"/>
      <w:divBdr>
        <w:top w:val="none" w:sz="0" w:space="0" w:color="auto"/>
        <w:left w:val="none" w:sz="0" w:space="0" w:color="auto"/>
        <w:bottom w:val="none" w:sz="0" w:space="0" w:color="auto"/>
        <w:right w:val="none" w:sz="0" w:space="0" w:color="auto"/>
      </w:divBdr>
    </w:div>
    <w:div w:id="451293828">
      <w:bodyDiv w:val="1"/>
      <w:marLeft w:val="0"/>
      <w:marRight w:val="0"/>
      <w:marTop w:val="0"/>
      <w:marBottom w:val="0"/>
      <w:divBdr>
        <w:top w:val="none" w:sz="0" w:space="0" w:color="auto"/>
        <w:left w:val="none" w:sz="0" w:space="0" w:color="auto"/>
        <w:bottom w:val="none" w:sz="0" w:space="0" w:color="auto"/>
        <w:right w:val="none" w:sz="0" w:space="0" w:color="auto"/>
      </w:divBdr>
    </w:div>
    <w:div w:id="452670261">
      <w:bodyDiv w:val="1"/>
      <w:marLeft w:val="0"/>
      <w:marRight w:val="0"/>
      <w:marTop w:val="0"/>
      <w:marBottom w:val="0"/>
      <w:divBdr>
        <w:top w:val="none" w:sz="0" w:space="0" w:color="auto"/>
        <w:left w:val="none" w:sz="0" w:space="0" w:color="auto"/>
        <w:bottom w:val="none" w:sz="0" w:space="0" w:color="auto"/>
        <w:right w:val="none" w:sz="0" w:space="0" w:color="auto"/>
      </w:divBdr>
    </w:div>
    <w:div w:id="461004916">
      <w:bodyDiv w:val="1"/>
      <w:marLeft w:val="0"/>
      <w:marRight w:val="0"/>
      <w:marTop w:val="0"/>
      <w:marBottom w:val="0"/>
      <w:divBdr>
        <w:top w:val="none" w:sz="0" w:space="0" w:color="auto"/>
        <w:left w:val="none" w:sz="0" w:space="0" w:color="auto"/>
        <w:bottom w:val="none" w:sz="0" w:space="0" w:color="auto"/>
        <w:right w:val="none" w:sz="0" w:space="0" w:color="auto"/>
      </w:divBdr>
    </w:div>
    <w:div w:id="470490045">
      <w:bodyDiv w:val="1"/>
      <w:marLeft w:val="0"/>
      <w:marRight w:val="0"/>
      <w:marTop w:val="0"/>
      <w:marBottom w:val="0"/>
      <w:divBdr>
        <w:top w:val="none" w:sz="0" w:space="0" w:color="auto"/>
        <w:left w:val="none" w:sz="0" w:space="0" w:color="auto"/>
        <w:bottom w:val="none" w:sz="0" w:space="0" w:color="auto"/>
        <w:right w:val="none" w:sz="0" w:space="0" w:color="auto"/>
      </w:divBdr>
    </w:div>
    <w:div w:id="471866774">
      <w:bodyDiv w:val="1"/>
      <w:marLeft w:val="0"/>
      <w:marRight w:val="0"/>
      <w:marTop w:val="0"/>
      <w:marBottom w:val="0"/>
      <w:divBdr>
        <w:top w:val="none" w:sz="0" w:space="0" w:color="auto"/>
        <w:left w:val="none" w:sz="0" w:space="0" w:color="auto"/>
        <w:bottom w:val="none" w:sz="0" w:space="0" w:color="auto"/>
        <w:right w:val="none" w:sz="0" w:space="0" w:color="auto"/>
      </w:divBdr>
    </w:div>
    <w:div w:id="471873419">
      <w:bodyDiv w:val="1"/>
      <w:marLeft w:val="0"/>
      <w:marRight w:val="0"/>
      <w:marTop w:val="0"/>
      <w:marBottom w:val="0"/>
      <w:divBdr>
        <w:top w:val="none" w:sz="0" w:space="0" w:color="auto"/>
        <w:left w:val="none" w:sz="0" w:space="0" w:color="auto"/>
        <w:bottom w:val="none" w:sz="0" w:space="0" w:color="auto"/>
        <w:right w:val="none" w:sz="0" w:space="0" w:color="auto"/>
      </w:divBdr>
    </w:div>
    <w:div w:id="475924425">
      <w:bodyDiv w:val="1"/>
      <w:marLeft w:val="0"/>
      <w:marRight w:val="0"/>
      <w:marTop w:val="0"/>
      <w:marBottom w:val="0"/>
      <w:divBdr>
        <w:top w:val="none" w:sz="0" w:space="0" w:color="auto"/>
        <w:left w:val="none" w:sz="0" w:space="0" w:color="auto"/>
        <w:bottom w:val="none" w:sz="0" w:space="0" w:color="auto"/>
        <w:right w:val="none" w:sz="0" w:space="0" w:color="auto"/>
      </w:divBdr>
    </w:div>
    <w:div w:id="477963873">
      <w:bodyDiv w:val="1"/>
      <w:marLeft w:val="0"/>
      <w:marRight w:val="0"/>
      <w:marTop w:val="0"/>
      <w:marBottom w:val="0"/>
      <w:divBdr>
        <w:top w:val="none" w:sz="0" w:space="0" w:color="auto"/>
        <w:left w:val="none" w:sz="0" w:space="0" w:color="auto"/>
        <w:bottom w:val="none" w:sz="0" w:space="0" w:color="auto"/>
        <w:right w:val="none" w:sz="0" w:space="0" w:color="auto"/>
      </w:divBdr>
    </w:div>
    <w:div w:id="480003685">
      <w:bodyDiv w:val="1"/>
      <w:marLeft w:val="0"/>
      <w:marRight w:val="0"/>
      <w:marTop w:val="0"/>
      <w:marBottom w:val="0"/>
      <w:divBdr>
        <w:top w:val="none" w:sz="0" w:space="0" w:color="auto"/>
        <w:left w:val="none" w:sz="0" w:space="0" w:color="auto"/>
        <w:bottom w:val="none" w:sz="0" w:space="0" w:color="auto"/>
        <w:right w:val="none" w:sz="0" w:space="0" w:color="auto"/>
      </w:divBdr>
    </w:div>
    <w:div w:id="480778137">
      <w:bodyDiv w:val="1"/>
      <w:marLeft w:val="0"/>
      <w:marRight w:val="0"/>
      <w:marTop w:val="0"/>
      <w:marBottom w:val="0"/>
      <w:divBdr>
        <w:top w:val="none" w:sz="0" w:space="0" w:color="auto"/>
        <w:left w:val="none" w:sz="0" w:space="0" w:color="auto"/>
        <w:bottom w:val="none" w:sz="0" w:space="0" w:color="auto"/>
        <w:right w:val="none" w:sz="0" w:space="0" w:color="auto"/>
      </w:divBdr>
    </w:div>
    <w:div w:id="485707268">
      <w:bodyDiv w:val="1"/>
      <w:marLeft w:val="0"/>
      <w:marRight w:val="0"/>
      <w:marTop w:val="0"/>
      <w:marBottom w:val="0"/>
      <w:divBdr>
        <w:top w:val="none" w:sz="0" w:space="0" w:color="auto"/>
        <w:left w:val="none" w:sz="0" w:space="0" w:color="auto"/>
        <w:bottom w:val="none" w:sz="0" w:space="0" w:color="auto"/>
        <w:right w:val="none" w:sz="0" w:space="0" w:color="auto"/>
      </w:divBdr>
    </w:div>
    <w:div w:id="487981908">
      <w:bodyDiv w:val="1"/>
      <w:marLeft w:val="0"/>
      <w:marRight w:val="0"/>
      <w:marTop w:val="0"/>
      <w:marBottom w:val="0"/>
      <w:divBdr>
        <w:top w:val="none" w:sz="0" w:space="0" w:color="auto"/>
        <w:left w:val="none" w:sz="0" w:space="0" w:color="auto"/>
        <w:bottom w:val="none" w:sz="0" w:space="0" w:color="auto"/>
        <w:right w:val="none" w:sz="0" w:space="0" w:color="auto"/>
      </w:divBdr>
    </w:div>
    <w:div w:id="488132880">
      <w:bodyDiv w:val="1"/>
      <w:marLeft w:val="0"/>
      <w:marRight w:val="0"/>
      <w:marTop w:val="0"/>
      <w:marBottom w:val="0"/>
      <w:divBdr>
        <w:top w:val="none" w:sz="0" w:space="0" w:color="auto"/>
        <w:left w:val="none" w:sz="0" w:space="0" w:color="auto"/>
        <w:bottom w:val="none" w:sz="0" w:space="0" w:color="auto"/>
        <w:right w:val="none" w:sz="0" w:space="0" w:color="auto"/>
      </w:divBdr>
    </w:div>
    <w:div w:id="490754581">
      <w:bodyDiv w:val="1"/>
      <w:marLeft w:val="0"/>
      <w:marRight w:val="0"/>
      <w:marTop w:val="0"/>
      <w:marBottom w:val="0"/>
      <w:divBdr>
        <w:top w:val="none" w:sz="0" w:space="0" w:color="auto"/>
        <w:left w:val="none" w:sz="0" w:space="0" w:color="auto"/>
        <w:bottom w:val="none" w:sz="0" w:space="0" w:color="auto"/>
        <w:right w:val="none" w:sz="0" w:space="0" w:color="auto"/>
      </w:divBdr>
    </w:div>
    <w:div w:id="493617562">
      <w:bodyDiv w:val="1"/>
      <w:marLeft w:val="0"/>
      <w:marRight w:val="0"/>
      <w:marTop w:val="0"/>
      <w:marBottom w:val="0"/>
      <w:divBdr>
        <w:top w:val="none" w:sz="0" w:space="0" w:color="auto"/>
        <w:left w:val="none" w:sz="0" w:space="0" w:color="auto"/>
        <w:bottom w:val="none" w:sz="0" w:space="0" w:color="auto"/>
        <w:right w:val="none" w:sz="0" w:space="0" w:color="auto"/>
      </w:divBdr>
    </w:div>
    <w:div w:id="495610307">
      <w:bodyDiv w:val="1"/>
      <w:marLeft w:val="0"/>
      <w:marRight w:val="0"/>
      <w:marTop w:val="0"/>
      <w:marBottom w:val="0"/>
      <w:divBdr>
        <w:top w:val="none" w:sz="0" w:space="0" w:color="auto"/>
        <w:left w:val="none" w:sz="0" w:space="0" w:color="auto"/>
        <w:bottom w:val="none" w:sz="0" w:space="0" w:color="auto"/>
        <w:right w:val="none" w:sz="0" w:space="0" w:color="auto"/>
      </w:divBdr>
    </w:div>
    <w:div w:id="497883765">
      <w:bodyDiv w:val="1"/>
      <w:marLeft w:val="0"/>
      <w:marRight w:val="0"/>
      <w:marTop w:val="0"/>
      <w:marBottom w:val="0"/>
      <w:divBdr>
        <w:top w:val="none" w:sz="0" w:space="0" w:color="auto"/>
        <w:left w:val="none" w:sz="0" w:space="0" w:color="auto"/>
        <w:bottom w:val="none" w:sz="0" w:space="0" w:color="auto"/>
        <w:right w:val="none" w:sz="0" w:space="0" w:color="auto"/>
      </w:divBdr>
    </w:div>
    <w:div w:id="512767601">
      <w:bodyDiv w:val="1"/>
      <w:marLeft w:val="0"/>
      <w:marRight w:val="0"/>
      <w:marTop w:val="0"/>
      <w:marBottom w:val="0"/>
      <w:divBdr>
        <w:top w:val="none" w:sz="0" w:space="0" w:color="auto"/>
        <w:left w:val="none" w:sz="0" w:space="0" w:color="auto"/>
        <w:bottom w:val="none" w:sz="0" w:space="0" w:color="auto"/>
        <w:right w:val="none" w:sz="0" w:space="0" w:color="auto"/>
      </w:divBdr>
    </w:div>
    <w:div w:id="514223883">
      <w:bodyDiv w:val="1"/>
      <w:marLeft w:val="0"/>
      <w:marRight w:val="0"/>
      <w:marTop w:val="0"/>
      <w:marBottom w:val="0"/>
      <w:divBdr>
        <w:top w:val="none" w:sz="0" w:space="0" w:color="auto"/>
        <w:left w:val="none" w:sz="0" w:space="0" w:color="auto"/>
        <w:bottom w:val="none" w:sz="0" w:space="0" w:color="auto"/>
        <w:right w:val="none" w:sz="0" w:space="0" w:color="auto"/>
      </w:divBdr>
    </w:div>
    <w:div w:id="519703440">
      <w:bodyDiv w:val="1"/>
      <w:marLeft w:val="0"/>
      <w:marRight w:val="0"/>
      <w:marTop w:val="0"/>
      <w:marBottom w:val="0"/>
      <w:divBdr>
        <w:top w:val="none" w:sz="0" w:space="0" w:color="auto"/>
        <w:left w:val="none" w:sz="0" w:space="0" w:color="auto"/>
        <w:bottom w:val="none" w:sz="0" w:space="0" w:color="auto"/>
        <w:right w:val="none" w:sz="0" w:space="0" w:color="auto"/>
      </w:divBdr>
    </w:div>
    <w:div w:id="523978747">
      <w:bodyDiv w:val="1"/>
      <w:marLeft w:val="0"/>
      <w:marRight w:val="0"/>
      <w:marTop w:val="0"/>
      <w:marBottom w:val="0"/>
      <w:divBdr>
        <w:top w:val="none" w:sz="0" w:space="0" w:color="auto"/>
        <w:left w:val="none" w:sz="0" w:space="0" w:color="auto"/>
        <w:bottom w:val="none" w:sz="0" w:space="0" w:color="auto"/>
        <w:right w:val="none" w:sz="0" w:space="0" w:color="auto"/>
      </w:divBdr>
    </w:div>
    <w:div w:id="524753518">
      <w:bodyDiv w:val="1"/>
      <w:marLeft w:val="0"/>
      <w:marRight w:val="0"/>
      <w:marTop w:val="0"/>
      <w:marBottom w:val="0"/>
      <w:divBdr>
        <w:top w:val="none" w:sz="0" w:space="0" w:color="auto"/>
        <w:left w:val="none" w:sz="0" w:space="0" w:color="auto"/>
        <w:bottom w:val="none" w:sz="0" w:space="0" w:color="auto"/>
        <w:right w:val="none" w:sz="0" w:space="0" w:color="auto"/>
      </w:divBdr>
    </w:div>
    <w:div w:id="527597335">
      <w:bodyDiv w:val="1"/>
      <w:marLeft w:val="0"/>
      <w:marRight w:val="0"/>
      <w:marTop w:val="0"/>
      <w:marBottom w:val="0"/>
      <w:divBdr>
        <w:top w:val="none" w:sz="0" w:space="0" w:color="auto"/>
        <w:left w:val="none" w:sz="0" w:space="0" w:color="auto"/>
        <w:bottom w:val="none" w:sz="0" w:space="0" w:color="auto"/>
        <w:right w:val="none" w:sz="0" w:space="0" w:color="auto"/>
      </w:divBdr>
    </w:div>
    <w:div w:id="528765983">
      <w:bodyDiv w:val="1"/>
      <w:marLeft w:val="0"/>
      <w:marRight w:val="0"/>
      <w:marTop w:val="0"/>
      <w:marBottom w:val="0"/>
      <w:divBdr>
        <w:top w:val="none" w:sz="0" w:space="0" w:color="auto"/>
        <w:left w:val="none" w:sz="0" w:space="0" w:color="auto"/>
        <w:bottom w:val="none" w:sz="0" w:space="0" w:color="auto"/>
        <w:right w:val="none" w:sz="0" w:space="0" w:color="auto"/>
      </w:divBdr>
    </w:div>
    <w:div w:id="543520011">
      <w:bodyDiv w:val="1"/>
      <w:marLeft w:val="0"/>
      <w:marRight w:val="0"/>
      <w:marTop w:val="0"/>
      <w:marBottom w:val="0"/>
      <w:divBdr>
        <w:top w:val="none" w:sz="0" w:space="0" w:color="auto"/>
        <w:left w:val="none" w:sz="0" w:space="0" w:color="auto"/>
        <w:bottom w:val="none" w:sz="0" w:space="0" w:color="auto"/>
        <w:right w:val="none" w:sz="0" w:space="0" w:color="auto"/>
      </w:divBdr>
    </w:div>
    <w:div w:id="547495904">
      <w:bodyDiv w:val="1"/>
      <w:marLeft w:val="0"/>
      <w:marRight w:val="0"/>
      <w:marTop w:val="0"/>
      <w:marBottom w:val="0"/>
      <w:divBdr>
        <w:top w:val="none" w:sz="0" w:space="0" w:color="auto"/>
        <w:left w:val="none" w:sz="0" w:space="0" w:color="auto"/>
        <w:bottom w:val="none" w:sz="0" w:space="0" w:color="auto"/>
        <w:right w:val="none" w:sz="0" w:space="0" w:color="auto"/>
      </w:divBdr>
    </w:div>
    <w:div w:id="550533633">
      <w:bodyDiv w:val="1"/>
      <w:marLeft w:val="0"/>
      <w:marRight w:val="0"/>
      <w:marTop w:val="0"/>
      <w:marBottom w:val="0"/>
      <w:divBdr>
        <w:top w:val="none" w:sz="0" w:space="0" w:color="auto"/>
        <w:left w:val="none" w:sz="0" w:space="0" w:color="auto"/>
        <w:bottom w:val="none" w:sz="0" w:space="0" w:color="auto"/>
        <w:right w:val="none" w:sz="0" w:space="0" w:color="auto"/>
      </w:divBdr>
    </w:div>
    <w:div w:id="551186991">
      <w:bodyDiv w:val="1"/>
      <w:marLeft w:val="0"/>
      <w:marRight w:val="0"/>
      <w:marTop w:val="0"/>
      <w:marBottom w:val="0"/>
      <w:divBdr>
        <w:top w:val="none" w:sz="0" w:space="0" w:color="auto"/>
        <w:left w:val="none" w:sz="0" w:space="0" w:color="auto"/>
        <w:bottom w:val="none" w:sz="0" w:space="0" w:color="auto"/>
        <w:right w:val="none" w:sz="0" w:space="0" w:color="auto"/>
      </w:divBdr>
    </w:div>
    <w:div w:id="555434259">
      <w:bodyDiv w:val="1"/>
      <w:marLeft w:val="0"/>
      <w:marRight w:val="0"/>
      <w:marTop w:val="0"/>
      <w:marBottom w:val="0"/>
      <w:divBdr>
        <w:top w:val="none" w:sz="0" w:space="0" w:color="auto"/>
        <w:left w:val="none" w:sz="0" w:space="0" w:color="auto"/>
        <w:bottom w:val="none" w:sz="0" w:space="0" w:color="auto"/>
        <w:right w:val="none" w:sz="0" w:space="0" w:color="auto"/>
      </w:divBdr>
    </w:div>
    <w:div w:id="562182813">
      <w:bodyDiv w:val="1"/>
      <w:marLeft w:val="0"/>
      <w:marRight w:val="0"/>
      <w:marTop w:val="0"/>
      <w:marBottom w:val="0"/>
      <w:divBdr>
        <w:top w:val="none" w:sz="0" w:space="0" w:color="auto"/>
        <w:left w:val="none" w:sz="0" w:space="0" w:color="auto"/>
        <w:bottom w:val="none" w:sz="0" w:space="0" w:color="auto"/>
        <w:right w:val="none" w:sz="0" w:space="0" w:color="auto"/>
      </w:divBdr>
    </w:div>
    <w:div w:id="563104235">
      <w:bodyDiv w:val="1"/>
      <w:marLeft w:val="0"/>
      <w:marRight w:val="0"/>
      <w:marTop w:val="0"/>
      <w:marBottom w:val="0"/>
      <w:divBdr>
        <w:top w:val="none" w:sz="0" w:space="0" w:color="auto"/>
        <w:left w:val="none" w:sz="0" w:space="0" w:color="auto"/>
        <w:bottom w:val="none" w:sz="0" w:space="0" w:color="auto"/>
        <w:right w:val="none" w:sz="0" w:space="0" w:color="auto"/>
      </w:divBdr>
    </w:div>
    <w:div w:id="564293266">
      <w:bodyDiv w:val="1"/>
      <w:marLeft w:val="0"/>
      <w:marRight w:val="0"/>
      <w:marTop w:val="0"/>
      <w:marBottom w:val="0"/>
      <w:divBdr>
        <w:top w:val="none" w:sz="0" w:space="0" w:color="auto"/>
        <w:left w:val="none" w:sz="0" w:space="0" w:color="auto"/>
        <w:bottom w:val="none" w:sz="0" w:space="0" w:color="auto"/>
        <w:right w:val="none" w:sz="0" w:space="0" w:color="auto"/>
      </w:divBdr>
    </w:div>
    <w:div w:id="566500515">
      <w:bodyDiv w:val="1"/>
      <w:marLeft w:val="0"/>
      <w:marRight w:val="0"/>
      <w:marTop w:val="0"/>
      <w:marBottom w:val="0"/>
      <w:divBdr>
        <w:top w:val="none" w:sz="0" w:space="0" w:color="auto"/>
        <w:left w:val="none" w:sz="0" w:space="0" w:color="auto"/>
        <w:bottom w:val="none" w:sz="0" w:space="0" w:color="auto"/>
        <w:right w:val="none" w:sz="0" w:space="0" w:color="auto"/>
      </w:divBdr>
    </w:div>
    <w:div w:id="570702562">
      <w:bodyDiv w:val="1"/>
      <w:marLeft w:val="0"/>
      <w:marRight w:val="0"/>
      <w:marTop w:val="0"/>
      <w:marBottom w:val="0"/>
      <w:divBdr>
        <w:top w:val="none" w:sz="0" w:space="0" w:color="auto"/>
        <w:left w:val="none" w:sz="0" w:space="0" w:color="auto"/>
        <w:bottom w:val="none" w:sz="0" w:space="0" w:color="auto"/>
        <w:right w:val="none" w:sz="0" w:space="0" w:color="auto"/>
      </w:divBdr>
    </w:div>
    <w:div w:id="574972261">
      <w:bodyDiv w:val="1"/>
      <w:marLeft w:val="0"/>
      <w:marRight w:val="0"/>
      <w:marTop w:val="0"/>
      <w:marBottom w:val="0"/>
      <w:divBdr>
        <w:top w:val="none" w:sz="0" w:space="0" w:color="auto"/>
        <w:left w:val="none" w:sz="0" w:space="0" w:color="auto"/>
        <w:bottom w:val="none" w:sz="0" w:space="0" w:color="auto"/>
        <w:right w:val="none" w:sz="0" w:space="0" w:color="auto"/>
      </w:divBdr>
    </w:div>
    <w:div w:id="575210656">
      <w:bodyDiv w:val="1"/>
      <w:marLeft w:val="0"/>
      <w:marRight w:val="0"/>
      <w:marTop w:val="0"/>
      <w:marBottom w:val="0"/>
      <w:divBdr>
        <w:top w:val="none" w:sz="0" w:space="0" w:color="auto"/>
        <w:left w:val="none" w:sz="0" w:space="0" w:color="auto"/>
        <w:bottom w:val="none" w:sz="0" w:space="0" w:color="auto"/>
        <w:right w:val="none" w:sz="0" w:space="0" w:color="auto"/>
      </w:divBdr>
    </w:div>
    <w:div w:id="576475470">
      <w:bodyDiv w:val="1"/>
      <w:marLeft w:val="0"/>
      <w:marRight w:val="0"/>
      <w:marTop w:val="0"/>
      <w:marBottom w:val="0"/>
      <w:divBdr>
        <w:top w:val="none" w:sz="0" w:space="0" w:color="auto"/>
        <w:left w:val="none" w:sz="0" w:space="0" w:color="auto"/>
        <w:bottom w:val="none" w:sz="0" w:space="0" w:color="auto"/>
        <w:right w:val="none" w:sz="0" w:space="0" w:color="auto"/>
      </w:divBdr>
    </w:div>
    <w:div w:id="580724762">
      <w:bodyDiv w:val="1"/>
      <w:marLeft w:val="0"/>
      <w:marRight w:val="0"/>
      <w:marTop w:val="0"/>
      <w:marBottom w:val="0"/>
      <w:divBdr>
        <w:top w:val="none" w:sz="0" w:space="0" w:color="auto"/>
        <w:left w:val="none" w:sz="0" w:space="0" w:color="auto"/>
        <w:bottom w:val="none" w:sz="0" w:space="0" w:color="auto"/>
        <w:right w:val="none" w:sz="0" w:space="0" w:color="auto"/>
      </w:divBdr>
    </w:div>
    <w:div w:id="587033168">
      <w:bodyDiv w:val="1"/>
      <w:marLeft w:val="0"/>
      <w:marRight w:val="0"/>
      <w:marTop w:val="0"/>
      <w:marBottom w:val="0"/>
      <w:divBdr>
        <w:top w:val="none" w:sz="0" w:space="0" w:color="auto"/>
        <w:left w:val="none" w:sz="0" w:space="0" w:color="auto"/>
        <w:bottom w:val="none" w:sz="0" w:space="0" w:color="auto"/>
        <w:right w:val="none" w:sz="0" w:space="0" w:color="auto"/>
      </w:divBdr>
    </w:div>
    <w:div w:id="588198704">
      <w:bodyDiv w:val="1"/>
      <w:marLeft w:val="0"/>
      <w:marRight w:val="0"/>
      <w:marTop w:val="0"/>
      <w:marBottom w:val="0"/>
      <w:divBdr>
        <w:top w:val="none" w:sz="0" w:space="0" w:color="auto"/>
        <w:left w:val="none" w:sz="0" w:space="0" w:color="auto"/>
        <w:bottom w:val="none" w:sz="0" w:space="0" w:color="auto"/>
        <w:right w:val="none" w:sz="0" w:space="0" w:color="auto"/>
      </w:divBdr>
    </w:div>
    <w:div w:id="590045056">
      <w:bodyDiv w:val="1"/>
      <w:marLeft w:val="0"/>
      <w:marRight w:val="0"/>
      <w:marTop w:val="0"/>
      <w:marBottom w:val="0"/>
      <w:divBdr>
        <w:top w:val="none" w:sz="0" w:space="0" w:color="auto"/>
        <w:left w:val="none" w:sz="0" w:space="0" w:color="auto"/>
        <w:bottom w:val="none" w:sz="0" w:space="0" w:color="auto"/>
        <w:right w:val="none" w:sz="0" w:space="0" w:color="auto"/>
      </w:divBdr>
    </w:div>
    <w:div w:id="595215816">
      <w:bodyDiv w:val="1"/>
      <w:marLeft w:val="0"/>
      <w:marRight w:val="0"/>
      <w:marTop w:val="0"/>
      <w:marBottom w:val="0"/>
      <w:divBdr>
        <w:top w:val="none" w:sz="0" w:space="0" w:color="auto"/>
        <w:left w:val="none" w:sz="0" w:space="0" w:color="auto"/>
        <w:bottom w:val="none" w:sz="0" w:space="0" w:color="auto"/>
        <w:right w:val="none" w:sz="0" w:space="0" w:color="auto"/>
      </w:divBdr>
    </w:div>
    <w:div w:id="604192064">
      <w:bodyDiv w:val="1"/>
      <w:marLeft w:val="0"/>
      <w:marRight w:val="0"/>
      <w:marTop w:val="0"/>
      <w:marBottom w:val="0"/>
      <w:divBdr>
        <w:top w:val="none" w:sz="0" w:space="0" w:color="auto"/>
        <w:left w:val="none" w:sz="0" w:space="0" w:color="auto"/>
        <w:bottom w:val="none" w:sz="0" w:space="0" w:color="auto"/>
        <w:right w:val="none" w:sz="0" w:space="0" w:color="auto"/>
      </w:divBdr>
    </w:div>
    <w:div w:id="604577971">
      <w:bodyDiv w:val="1"/>
      <w:marLeft w:val="0"/>
      <w:marRight w:val="0"/>
      <w:marTop w:val="0"/>
      <w:marBottom w:val="0"/>
      <w:divBdr>
        <w:top w:val="none" w:sz="0" w:space="0" w:color="auto"/>
        <w:left w:val="none" w:sz="0" w:space="0" w:color="auto"/>
        <w:bottom w:val="none" w:sz="0" w:space="0" w:color="auto"/>
        <w:right w:val="none" w:sz="0" w:space="0" w:color="auto"/>
      </w:divBdr>
    </w:div>
    <w:div w:id="606540499">
      <w:bodyDiv w:val="1"/>
      <w:marLeft w:val="0"/>
      <w:marRight w:val="0"/>
      <w:marTop w:val="0"/>
      <w:marBottom w:val="0"/>
      <w:divBdr>
        <w:top w:val="none" w:sz="0" w:space="0" w:color="auto"/>
        <w:left w:val="none" w:sz="0" w:space="0" w:color="auto"/>
        <w:bottom w:val="none" w:sz="0" w:space="0" w:color="auto"/>
        <w:right w:val="none" w:sz="0" w:space="0" w:color="auto"/>
      </w:divBdr>
    </w:div>
    <w:div w:id="607196554">
      <w:bodyDiv w:val="1"/>
      <w:marLeft w:val="0"/>
      <w:marRight w:val="0"/>
      <w:marTop w:val="0"/>
      <w:marBottom w:val="0"/>
      <w:divBdr>
        <w:top w:val="none" w:sz="0" w:space="0" w:color="auto"/>
        <w:left w:val="none" w:sz="0" w:space="0" w:color="auto"/>
        <w:bottom w:val="none" w:sz="0" w:space="0" w:color="auto"/>
        <w:right w:val="none" w:sz="0" w:space="0" w:color="auto"/>
      </w:divBdr>
    </w:div>
    <w:div w:id="608389989">
      <w:bodyDiv w:val="1"/>
      <w:marLeft w:val="0"/>
      <w:marRight w:val="0"/>
      <w:marTop w:val="0"/>
      <w:marBottom w:val="0"/>
      <w:divBdr>
        <w:top w:val="none" w:sz="0" w:space="0" w:color="auto"/>
        <w:left w:val="none" w:sz="0" w:space="0" w:color="auto"/>
        <w:bottom w:val="none" w:sz="0" w:space="0" w:color="auto"/>
        <w:right w:val="none" w:sz="0" w:space="0" w:color="auto"/>
      </w:divBdr>
    </w:div>
    <w:div w:id="611135781">
      <w:bodyDiv w:val="1"/>
      <w:marLeft w:val="0"/>
      <w:marRight w:val="0"/>
      <w:marTop w:val="0"/>
      <w:marBottom w:val="0"/>
      <w:divBdr>
        <w:top w:val="none" w:sz="0" w:space="0" w:color="auto"/>
        <w:left w:val="none" w:sz="0" w:space="0" w:color="auto"/>
        <w:bottom w:val="none" w:sz="0" w:space="0" w:color="auto"/>
        <w:right w:val="none" w:sz="0" w:space="0" w:color="auto"/>
      </w:divBdr>
    </w:div>
    <w:div w:id="611278853">
      <w:bodyDiv w:val="1"/>
      <w:marLeft w:val="0"/>
      <w:marRight w:val="0"/>
      <w:marTop w:val="0"/>
      <w:marBottom w:val="0"/>
      <w:divBdr>
        <w:top w:val="none" w:sz="0" w:space="0" w:color="auto"/>
        <w:left w:val="none" w:sz="0" w:space="0" w:color="auto"/>
        <w:bottom w:val="none" w:sz="0" w:space="0" w:color="auto"/>
        <w:right w:val="none" w:sz="0" w:space="0" w:color="auto"/>
      </w:divBdr>
    </w:div>
    <w:div w:id="612636904">
      <w:bodyDiv w:val="1"/>
      <w:marLeft w:val="0"/>
      <w:marRight w:val="0"/>
      <w:marTop w:val="0"/>
      <w:marBottom w:val="0"/>
      <w:divBdr>
        <w:top w:val="none" w:sz="0" w:space="0" w:color="auto"/>
        <w:left w:val="none" w:sz="0" w:space="0" w:color="auto"/>
        <w:bottom w:val="none" w:sz="0" w:space="0" w:color="auto"/>
        <w:right w:val="none" w:sz="0" w:space="0" w:color="auto"/>
      </w:divBdr>
    </w:div>
    <w:div w:id="613948112">
      <w:bodyDiv w:val="1"/>
      <w:marLeft w:val="0"/>
      <w:marRight w:val="0"/>
      <w:marTop w:val="0"/>
      <w:marBottom w:val="0"/>
      <w:divBdr>
        <w:top w:val="none" w:sz="0" w:space="0" w:color="auto"/>
        <w:left w:val="none" w:sz="0" w:space="0" w:color="auto"/>
        <w:bottom w:val="none" w:sz="0" w:space="0" w:color="auto"/>
        <w:right w:val="none" w:sz="0" w:space="0" w:color="auto"/>
      </w:divBdr>
    </w:div>
    <w:div w:id="614363721">
      <w:bodyDiv w:val="1"/>
      <w:marLeft w:val="0"/>
      <w:marRight w:val="0"/>
      <w:marTop w:val="0"/>
      <w:marBottom w:val="0"/>
      <w:divBdr>
        <w:top w:val="none" w:sz="0" w:space="0" w:color="auto"/>
        <w:left w:val="none" w:sz="0" w:space="0" w:color="auto"/>
        <w:bottom w:val="none" w:sz="0" w:space="0" w:color="auto"/>
        <w:right w:val="none" w:sz="0" w:space="0" w:color="auto"/>
      </w:divBdr>
    </w:div>
    <w:div w:id="620112037">
      <w:bodyDiv w:val="1"/>
      <w:marLeft w:val="0"/>
      <w:marRight w:val="0"/>
      <w:marTop w:val="0"/>
      <w:marBottom w:val="0"/>
      <w:divBdr>
        <w:top w:val="none" w:sz="0" w:space="0" w:color="auto"/>
        <w:left w:val="none" w:sz="0" w:space="0" w:color="auto"/>
        <w:bottom w:val="none" w:sz="0" w:space="0" w:color="auto"/>
        <w:right w:val="none" w:sz="0" w:space="0" w:color="auto"/>
      </w:divBdr>
    </w:div>
    <w:div w:id="624895095">
      <w:bodyDiv w:val="1"/>
      <w:marLeft w:val="0"/>
      <w:marRight w:val="0"/>
      <w:marTop w:val="0"/>
      <w:marBottom w:val="0"/>
      <w:divBdr>
        <w:top w:val="none" w:sz="0" w:space="0" w:color="auto"/>
        <w:left w:val="none" w:sz="0" w:space="0" w:color="auto"/>
        <w:bottom w:val="none" w:sz="0" w:space="0" w:color="auto"/>
        <w:right w:val="none" w:sz="0" w:space="0" w:color="auto"/>
      </w:divBdr>
    </w:div>
    <w:div w:id="627510666">
      <w:bodyDiv w:val="1"/>
      <w:marLeft w:val="0"/>
      <w:marRight w:val="0"/>
      <w:marTop w:val="0"/>
      <w:marBottom w:val="0"/>
      <w:divBdr>
        <w:top w:val="none" w:sz="0" w:space="0" w:color="auto"/>
        <w:left w:val="none" w:sz="0" w:space="0" w:color="auto"/>
        <w:bottom w:val="none" w:sz="0" w:space="0" w:color="auto"/>
        <w:right w:val="none" w:sz="0" w:space="0" w:color="auto"/>
      </w:divBdr>
    </w:div>
    <w:div w:id="634264685">
      <w:bodyDiv w:val="1"/>
      <w:marLeft w:val="0"/>
      <w:marRight w:val="0"/>
      <w:marTop w:val="0"/>
      <w:marBottom w:val="0"/>
      <w:divBdr>
        <w:top w:val="none" w:sz="0" w:space="0" w:color="auto"/>
        <w:left w:val="none" w:sz="0" w:space="0" w:color="auto"/>
        <w:bottom w:val="none" w:sz="0" w:space="0" w:color="auto"/>
        <w:right w:val="none" w:sz="0" w:space="0" w:color="auto"/>
      </w:divBdr>
    </w:div>
    <w:div w:id="635378157">
      <w:bodyDiv w:val="1"/>
      <w:marLeft w:val="0"/>
      <w:marRight w:val="0"/>
      <w:marTop w:val="0"/>
      <w:marBottom w:val="0"/>
      <w:divBdr>
        <w:top w:val="none" w:sz="0" w:space="0" w:color="auto"/>
        <w:left w:val="none" w:sz="0" w:space="0" w:color="auto"/>
        <w:bottom w:val="none" w:sz="0" w:space="0" w:color="auto"/>
        <w:right w:val="none" w:sz="0" w:space="0" w:color="auto"/>
      </w:divBdr>
    </w:div>
    <w:div w:id="635910455">
      <w:bodyDiv w:val="1"/>
      <w:marLeft w:val="0"/>
      <w:marRight w:val="0"/>
      <w:marTop w:val="0"/>
      <w:marBottom w:val="0"/>
      <w:divBdr>
        <w:top w:val="none" w:sz="0" w:space="0" w:color="auto"/>
        <w:left w:val="none" w:sz="0" w:space="0" w:color="auto"/>
        <w:bottom w:val="none" w:sz="0" w:space="0" w:color="auto"/>
        <w:right w:val="none" w:sz="0" w:space="0" w:color="auto"/>
      </w:divBdr>
    </w:div>
    <w:div w:id="637297877">
      <w:bodyDiv w:val="1"/>
      <w:marLeft w:val="0"/>
      <w:marRight w:val="0"/>
      <w:marTop w:val="0"/>
      <w:marBottom w:val="0"/>
      <w:divBdr>
        <w:top w:val="none" w:sz="0" w:space="0" w:color="auto"/>
        <w:left w:val="none" w:sz="0" w:space="0" w:color="auto"/>
        <w:bottom w:val="none" w:sz="0" w:space="0" w:color="auto"/>
        <w:right w:val="none" w:sz="0" w:space="0" w:color="auto"/>
      </w:divBdr>
    </w:div>
    <w:div w:id="638075481">
      <w:bodyDiv w:val="1"/>
      <w:marLeft w:val="0"/>
      <w:marRight w:val="0"/>
      <w:marTop w:val="0"/>
      <w:marBottom w:val="0"/>
      <w:divBdr>
        <w:top w:val="none" w:sz="0" w:space="0" w:color="auto"/>
        <w:left w:val="none" w:sz="0" w:space="0" w:color="auto"/>
        <w:bottom w:val="none" w:sz="0" w:space="0" w:color="auto"/>
        <w:right w:val="none" w:sz="0" w:space="0" w:color="auto"/>
      </w:divBdr>
    </w:div>
    <w:div w:id="643778544">
      <w:bodyDiv w:val="1"/>
      <w:marLeft w:val="0"/>
      <w:marRight w:val="0"/>
      <w:marTop w:val="0"/>
      <w:marBottom w:val="0"/>
      <w:divBdr>
        <w:top w:val="none" w:sz="0" w:space="0" w:color="auto"/>
        <w:left w:val="none" w:sz="0" w:space="0" w:color="auto"/>
        <w:bottom w:val="none" w:sz="0" w:space="0" w:color="auto"/>
        <w:right w:val="none" w:sz="0" w:space="0" w:color="auto"/>
      </w:divBdr>
    </w:div>
    <w:div w:id="645007940">
      <w:bodyDiv w:val="1"/>
      <w:marLeft w:val="0"/>
      <w:marRight w:val="0"/>
      <w:marTop w:val="0"/>
      <w:marBottom w:val="0"/>
      <w:divBdr>
        <w:top w:val="none" w:sz="0" w:space="0" w:color="auto"/>
        <w:left w:val="none" w:sz="0" w:space="0" w:color="auto"/>
        <w:bottom w:val="none" w:sz="0" w:space="0" w:color="auto"/>
        <w:right w:val="none" w:sz="0" w:space="0" w:color="auto"/>
      </w:divBdr>
    </w:div>
    <w:div w:id="650137553">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
    <w:div w:id="657998802">
      <w:bodyDiv w:val="1"/>
      <w:marLeft w:val="0"/>
      <w:marRight w:val="0"/>
      <w:marTop w:val="0"/>
      <w:marBottom w:val="0"/>
      <w:divBdr>
        <w:top w:val="none" w:sz="0" w:space="0" w:color="auto"/>
        <w:left w:val="none" w:sz="0" w:space="0" w:color="auto"/>
        <w:bottom w:val="none" w:sz="0" w:space="0" w:color="auto"/>
        <w:right w:val="none" w:sz="0" w:space="0" w:color="auto"/>
      </w:divBdr>
    </w:div>
    <w:div w:id="676469998">
      <w:bodyDiv w:val="1"/>
      <w:marLeft w:val="0"/>
      <w:marRight w:val="0"/>
      <w:marTop w:val="0"/>
      <w:marBottom w:val="0"/>
      <w:divBdr>
        <w:top w:val="none" w:sz="0" w:space="0" w:color="auto"/>
        <w:left w:val="none" w:sz="0" w:space="0" w:color="auto"/>
        <w:bottom w:val="none" w:sz="0" w:space="0" w:color="auto"/>
        <w:right w:val="none" w:sz="0" w:space="0" w:color="auto"/>
      </w:divBdr>
    </w:div>
    <w:div w:id="689988642">
      <w:bodyDiv w:val="1"/>
      <w:marLeft w:val="0"/>
      <w:marRight w:val="0"/>
      <w:marTop w:val="0"/>
      <w:marBottom w:val="0"/>
      <w:divBdr>
        <w:top w:val="none" w:sz="0" w:space="0" w:color="auto"/>
        <w:left w:val="none" w:sz="0" w:space="0" w:color="auto"/>
        <w:bottom w:val="none" w:sz="0" w:space="0" w:color="auto"/>
        <w:right w:val="none" w:sz="0" w:space="0" w:color="auto"/>
      </w:divBdr>
    </w:div>
    <w:div w:id="698044327">
      <w:bodyDiv w:val="1"/>
      <w:marLeft w:val="0"/>
      <w:marRight w:val="0"/>
      <w:marTop w:val="0"/>
      <w:marBottom w:val="0"/>
      <w:divBdr>
        <w:top w:val="none" w:sz="0" w:space="0" w:color="auto"/>
        <w:left w:val="none" w:sz="0" w:space="0" w:color="auto"/>
        <w:bottom w:val="none" w:sz="0" w:space="0" w:color="auto"/>
        <w:right w:val="none" w:sz="0" w:space="0" w:color="auto"/>
      </w:divBdr>
    </w:div>
    <w:div w:id="699164218">
      <w:bodyDiv w:val="1"/>
      <w:marLeft w:val="0"/>
      <w:marRight w:val="0"/>
      <w:marTop w:val="0"/>
      <w:marBottom w:val="0"/>
      <w:divBdr>
        <w:top w:val="none" w:sz="0" w:space="0" w:color="auto"/>
        <w:left w:val="none" w:sz="0" w:space="0" w:color="auto"/>
        <w:bottom w:val="none" w:sz="0" w:space="0" w:color="auto"/>
        <w:right w:val="none" w:sz="0" w:space="0" w:color="auto"/>
      </w:divBdr>
    </w:div>
    <w:div w:id="699478438">
      <w:bodyDiv w:val="1"/>
      <w:marLeft w:val="0"/>
      <w:marRight w:val="0"/>
      <w:marTop w:val="0"/>
      <w:marBottom w:val="0"/>
      <w:divBdr>
        <w:top w:val="none" w:sz="0" w:space="0" w:color="auto"/>
        <w:left w:val="none" w:sz="0" w:space="0" w:color="auto"/>
        <w:bottom w:val="none" w:sz="0" w:space="0" w:color="auto"/>
        <w:right w:val="none" w:sz="0" w:space="0" w:color="auto"/>
      </w:divBdr>
    </w:div>
    <w:div w:id="709694480">
      <w:bodyDiv w:val="1"/>
      <w:marLeft w:val="0"/>
      <w:marRight w:val="0"/>
      <w:marTop w:val="0"/>
      <w:marBottom w:val="0"/>
      <w:divBdr>
        <w:top w:val="none" w:sz="0" w:space="0" w:color="auto"/>
        <w:left w:val="none" w:sz="0" w:space="0" w:color="auto"/>
        <w:bottom w:val="none" w:sz="0" w:space="0" w:color="auto"/>
        <w:right w:val="none" w:sz="0" w:space="0" w:color="auto"/>
      </w:divBdr>
    </w:div>
    <w:div w:id="716785700">
      <w:bodyDiv w:val="1"/>
      <w:marLeft w:val="0"/>
      <w:marRight w:val="0"/>
      <w:marTop w:val="0"/>
      <w:marBottom w:val="0"/>
      <w:divBdr>
        <w:top w:val="none" w:sz="0" w:space="0" w:color="auto"/>
        <w:left w:val="none" w:sz="0" w:space="0" w:color="auto"/>
        <w:bottom w:val="none" w:sz="0" w:space="0" w:color="auto"/>
        <w:right w:val="none" w:sz="0" w:space="0" w:color="auto"/>
      </w:divBdr>
    </w:div>
    <w:div w:id="718674548">
      <w:bodyDiv w:val="1"/>
      <w:marLeft w:val="0"/>
      <w:marRight w:val="0"/>
      <w:marTop w:val="0"/>
      <w:marBottom w:val="0"/>
      <w:divBdr>
        <w:top w:val="none" w:sz="0" w:space="0" w:color="auto"/>
        <w:left w:val="none" w:sz="0" w:space="0" w:color="auto"/>
        <w:bottom w:val="none" w:sz="0" w:space="0" w:color="auto"/>
        <w:right w:val="none" w:sz="0" w:space="0" w:color="auto"/>
      </w:divBdr>
    </w:div>
    <w:div w:id="733430357">
      <w:bodyDiv w:val="1"/>
      <w:marLeft w:val="0"/>
      <w:marRight w:val="0"/>
      <w:marTop w:val="0"/>
      <w:marBottom w:val="0"/>
      <w:divBdr>
        <w:top w:val="none" w:sz="0" w:space="0" w:color="auto"/>
        <w:left w:val="none" w:sz="0" w:space="0" w:color="auto"/>
        <w:bottom w:val="none" w:sz="0" w:space="0" w:color="auto"/>
        <w:right w:val="none" w:sz="0" w:space="0" w:color="auto"/>
      </w:divBdr>
    </w:div>
    <w:div w:id="733432423">
      <w:bodyDiv w:val="1"/>
      <w:marLeft w:val="0"/>
      <w:marRight w:val="0"/>
      <w:marTop w:val="0"/>
      <w:marBottom w:val="0"/>
      <w:divBdr>
        <w:top w:val="none" w:sz="0" w:space="0" w:color="auto"/>
        <w:left w:val="none" w:sz="0" w:space="0" w:color="auto"/>
        <w:bottom w:val="none" w:sz="0" w:space="0" w:color="auto"/>
        <w:right w:val="none" w:sz="0" w:space="0" w:color="auto"/>
      </w:divBdr>
    </w:div>
    <w:div w:id="736169524">
      <w:bodyDiv w:val="1"/>
      <w:marLeft w:val="0"/>
      <w:marRight w:val="0"/>
      <w:marTop w:val="0"/>
      <w:marBottom w:val="0"/>
      <w:divBdr>
        <w:top w:val="none" w:sz="0" w:space="0" w:color="auto"/>
        <w:left w:val="none" w:sz="0" w:space="0" w:color="auto"/>
        <w:bottom w:val="none" w:sz="0" w:space="0" w:color="auto"/>
        <w:right w:val="none" w:sz="0" w:space="0" w:color="auto"/>
      </w:divBdr>
    </w:div>
    <w:div w:id="736972867">
      <w:bodyDiv w:val="1"/>
      <w:marLeft w:val="0"/>
      <w:marRight w:val="0"/>
      <w:marTop w:val="0"/>
      <w:marBottom w:val="0"/>
      <w:divBdr>
        <w:top w:val="none" w:sz="0" w:space="0" w:color="auto"/>
        <w:left w:val="none" w:sz="0" w:space="0" w:color="auto"/>
        <w:bottom w:val="none" w:sz="0" w:space="0" w:color="auto"/>
        <w:right w:val="none" w:sz="0" w:space="0" w:color="auto"/>
      </w:divBdr>
    </w:div>
    <w:div w:id="740298806">
      <w:bodyDiv w:val="1"/>
      <w:marLeft w:val="0"/>
      <w:marRight w:val="0"/>
      <w:marTop w:val="0"/>
      <w:marBottom w:val="0"/>
      <w:divBdr>
        <w:top w:val="none" w:sz="0" w:space="0" w:color="auto"/>
        <w:left w:val="none" w:sz="0" w:space="0" w:color="auto"/>
        <w:bottom w:val="none" w:sz="0" w:space="0" w:color="auto"/>
        <w:right w:val="none" w:sz="0" w:space="0" w:color="auto"/>
      </w:divBdr>
    </w:div>
    <w:div w:id="741563512">
      <w:bodyDiv w:val="1"/>
      <w:marLeft w:val="0"/>
      <w:marRight w:val="0"/>
      <w:marTop w:val="0"/>
      <w:marBottom w:val="0"/>
      <w:divBdr>
        <w:top w:val="none" w:sz="0" w:space="0" w:color="auto"/>
        <w:left w:val="none" w:sz="0" w:space="0" w:color="auto"/>
        <w:bottom w:val="none" w:sz="0" w:space="0" w:color="auto"/>
        <w:right w:val="none" w:sz="0" w:space="0" w:color="auto"/>
      </w:divBdr>
    </w:div>
    <w:div w:id="745103860">
      <w:bodyDiv w:val="1"/>
      <w:marLeft w:val="0"/>
      <w:marRight w:val="0"/>
      <w:marTop w:val="0"/>
      <w:marBottom w:val="0"/>
      <w:divBdr>
        <w:top w:val="none" w:sz="0" w:space="0" w:color="auto"/>
        <w:left w:val="none" w:sz="0" w:space="0" w:color="auto"/>
        <w:bottom w:val="none" w:sz="0" w:space="0" w:color="auto"/>
        <w:right w:val="none" w:sz="0" w:space="0" w:color="auto"/>
      </w:divBdr>
    </w:div>
    <w:div w:id="747577254">
      <w:bodyDiv w:val="1"/>
      <w:marLeft w:val="0"/>
      <w:marRight w:val="0"/>
      <w:marTop w:val="0"/>
      <w:marBottom w:val="0"/>
      <w:divBdr>
        <w:top w:val="none" w:sz="0" w:space="0" w:color="auto"/>
        <w:left w:val="none" w:sz="0" w:space="0" w:color="auto"/>
        <w:bottom w:val="none" w:sz="0" w:space="0" w:color="auto"/>
        <w:right w:val="none" w:sz="0" w:space="0" w:color="auto"/>
      </w:divBdr>
    </w:div>
    <w:div w:id="772092395">
      <w:bodyDiv w:val="1"/>
      <w:marLeft w:val="0"/>
      <w:marRight w:val="0"/>
      <w:marTop w:val="0"/>
      <w:marBottom w:val="0"/>
      <w:divBdr>
        <w:top w:val="none" w:sz="0" w:space="0" w:color="auto"/>
        <w:left w:val="none" w:sz="0" w:space="0" w:color="auto"/>
        <w:bottom w:val="none" w:sz="0" w:space="0" w:color="auto"/>
        <w:right w:val="none" w:sz="0" w:space="0" w:color="auto"/>
      </w:divBdr>
    </w:div>
    <w:div w:id="773087095">
      <w:bodyDiv w:val="1"/>
      <w:marLeft w:val="0"/>
      <w:marRight w:val="0"/>
      <w:marTop w:val="0"/>
      <w:marBottom w:val="0"/>
      <w:divBdr>
        <w:top w:val="none" w:sz="0" w:space="0" w:color="auto"/>
        <w:left w:val="none" w:sz="0" w:space="0" w:color="auto"/>
        <w:bottom w:val="none" w:sz="0" w:space="0" w:color="auto"/>
        <w:right w:val="none" w:sz="0" w:space="0" w:color="auto"/>
      </w:divBdr>
    </w:div>
    <w:div w:id="777068762">
      <w:bodyDiv w:val="1"/>
      <w:marLeft w:val="0"/>
      <w:marRight w:val="0"/>
      <w:marTop w:val="0"/>
      <w:marBottom w:val="0"/>
      <w:divBdr>
        <w:top w:val="none" w:sz="0" w:space="0" w:color="auto"/>
        <w:left w:val="none" w:sz="0" w:space="0" w:color="auto"/>
        <w:bottom w:val="none" w:sz="0" w:space="0" w:color="auto"/>
        <w:right w:val="none" w:sz="0" w:space="0" w:color="auto"/>
      </w:divBdr>
    </w:div>
    <w:div w:id="778721407">
      <w:bodyDiv w:val="1"/>
      <w:marLeft w:val="0"/>
      <w:marRight w:val="0"/>
      <w:marTop w:val="0"/>
      <w:marBottom w:val="0"/>
      <w:divBdr>
        <w:top w:val="none" w:sz="0" w:space="0" w:color="auto"/>
        <w:left w:val="none" w:sz="0" w:space="0" w:color="auto"/>
        <w:bottom w:val="none" w:sz="0" w:space="0" w:color="auto"/>
        <w:right w:val="none" w:sz="0" w:space="0" w:color="auto"/>
      </w:divBdr>
    </w:div>
    <w:div w:id="782455521">
      <w:bodyDiv w:val="1"/>
      <w:marLeft w:val="0"/>
      <w:marRight w:val="0"/>
      <w:marTop w:val="0"/>
      <w:marBottom w:val="0"/>
      <w:divBdr>
        <w:top w:val="none" w:sz="0" w:space="0" w:color="auto"/>
        <w:left w:val="none" w:sz="0" w:space="0" w:color="auto"/>
        <w:bottom w:val="none" w:sz="0" w:space="0" w:color="auto"/>
        <w:right w:val="none" w:sz="0" w:space="0" w:color="auto"/>
      </w:divBdr>
    </w:div>
    <w:div w:id="786242191">
      <w:bodyDiv w:val="1"/>
      <w:marLeft w:val="0"/>
      <w:marRight w:val="0"/>
      <w:marTop w:val="0"/>
      <w:marBottom w:val="0"/>
      <w:divBdr>
        <w:top w:val="none" w:sz="0" w:space="0" w:color="auto"/>
        <w:left w:val="none" w:sz="0" w:space="0" w:color="auto"/>
        <w:bottom w:val="none" w:sz="0" w:space="0" w:color="auto"/>
        <w:right w:val="none" w:sz="0" w:space="0" w:color="auto"/>
      </w:divBdr>
    </w:div>
    <w:div w:id="790131481">
      <w:bodyDiv w:val="1"/>
      <w:marLeft w:val="0"/>
      <w:marRight w:val="0"/>
      <w:marTop w:val="0"/>
      <w:marBottom w:val="0"/>
      <w:divBdr>
        <w:top w:val="none" w:sz="0" w:space="0" w:color="auto"/>
        <w:left w:val="none" w:sz="0" w:space="0" w:color="auto"/>
        <w:bottom w:val="none" w:sz="0" w:space="0" w:color="auto"/>
        <w:right w:val="none" w:sz="0" w:space="0" w:color="auto"/>
      </w:divBdr>
    </w:div>
    <w:div w:id="791246326">
      <w:bodyDiv w:val="1"/>
      <w:marLeft w:val="0"/>
      <w:marRight w:val="0"/>
      <w:marTop w:val="0"/>
      <w:marBottom w:val="0"/>
      <w:divBdr>
        <w:top w:val="none" w:sz="0" w:space="0" w:color="auto"/>
        <w:left w:val="none" w:sz="0" w:space="0" w:color="auto"/>
        <w:bottom w:val="none" w:sz="0" w:space="0" w:color="auto"/>
        <w:right w:val="none" w:sz="0" w:space="0" w:color="auto"/>
      </w:divBdr>
    </w:div>
    <w:div w:id="792866892">
      <w:bodyDiv w:val="1"/>
      <w:marLeft w:val="0"/>
      <w:marRight w:val="0"/>
      <w:marTop w:val="0"/>
      <w:marBottom w:val="0"/>
      <w:divBdr>
        <w:top w:val="none" w:sz="0" w:space="0" w:color="auto"/>
        <w:left w:val="none" w:sz="0" w:space="0" w:color="auto"/>
        <w:bottom w:val="none" w:sz="0" w:space="0" w:color="auto"/>
        <w:right w:val="none" w:sz="0" w:space="0" w:color="auto"/>
      </w:divBdr>
    </w:div>
    <w:div w:id="798688678">
      <w:bodyDiv w:val="1"/>
      <w:marLeft w:val="0"/>
      <w:marRight w:val="0"/>
      <w:marTop w:val="0"/>
      <w:marBottom w:val="0"/>
      <w:divBdr>
        <w:top w:val="none" w:sz="0" w:space="0" w:color="auto"/>
        <w:left w:val="none" w:sz="0" w:space="0" w:color="auto"/>
        <w:bottom w:val="none" w:sz="0" w:space="0" w:color="auto"/>
        <w:right w:val="none" w:sz="0" w:space="0" w:color="auto"/>
      </w:divBdr>
    </w:div>
    <w:div w:id="801850872">
      <w:bodyDiv w:val="1"/>
      <w:marLeft w:val="0"/>
      <w:marRight w:val="0"/>
      <w:marTop w:val="0"/>
      <w:marBottom w:val="0"/>
      <w:divBdr>
        <w:top w:val="none" w:sz="0" w:space="0" w:color="auto"/>
        <w:left w:val="none" w:sz="0" w:space="0" w:color="auto"/>
        <w:bottom w:val="none" w:sz="0" w:space="0" w:color="auto"/>
        <w:right w:val="none" w:sz="0" w:space="0" w:color="auto"/>
      </w:divBdr>
    </w:div>
    <w:div w:id="802305444">
      <w:bodyDiv w:val="1"/>
      <w:marLeft w:val="0"/>
      <w:marRight w:val="0"/>
      <w:marTop w:val="0"/>
      <w:marBottom w:val="0"/>
      <w:divBdr>
        <w:top w:val="none" w:sz="0" w:space="0" w:color="auto"/>
        <w:left w:val="none" w:sz="0" w:space="0" w:color="auto"/>
        <w:bottom w:val="none" w:sz="0" w:space="0" w:color="auto"/>
        <w:right w:val="none" w:sz="0" w:space="0" w:color="auto"/>
      </w:divBdr>
    </w:div>
    <w:div w:id="804355345">
      <w:bodyDiv w:val="1"/>
      <w:marLeft w:val="0"/>
      <w:marRight w:val="0"/>
      <w:marTop w:val="0"/>
      <w:marBottom w:val="0"/>
      <w:divBdr>
        <w:top w:val="none" w:sz="0" w:space="0" w:color="auto"/>
        <w:left w:val="none" w:sz="0" w:space="0" w:color="auto"/>
        <w:bottom w:val="none" w:sz="0" w:space="0" w:color="auto"/>
        <w:right w:val="none" w:sz="0" w:space="0" w:color="auto"/>
      </w:divBdr>
    </w:div>
    <w:div w:id="804932086">
      <w:bodyDiv w:val="1"/>
      <w:marLeft w:val="0"/>
      <w:marRight w:val="0"/>
      <w:marTop w:val="0"/>
      <w:marBottom w:val="0"/>
      <w:divBdr>
        <w:top w:val="none" w:sz="0" w:space="0" w:color="auto"/>
        <w:left w:val="none" w:sz="0" w:space="0" w:color="auto"/>
        <w:bottom w:val="none" w:sz="0" w:space="0" w:color="auto"/>
        <w:right w:val="none" w:sz="0" w:space="0" w:color="auto"/>
      </w:divBdr>
    </w:div>
    <w:div w:id="806896269">
      <w:bodyDiv w:val="1"/>
      <w:marLeft w:val="0"/>
      <w:marRight w:val="0"/>
      <w:marTop w:val="0"/>
      <w:marBottom w:val="0"/>
      <w:divBdr>
        <w:top w:val="none" w:sz="0" w:space="0" w:color="auto"/>
        <w:left w:val="none" w:sz="0" w:space="0" w:color="auto"/>
        <w:bottom w:val="none" w:sz="0" w:space="0" w:color="auto"/>
        <w:right w:val="none" w:sz="0" w:space="0" w:color="auto"/>
      </w:divBdr>
    </w:div>
    <w:div w:id="812255497">
      <w:bodyDiv w:val="1"/>
      <w:marLeft w:val="0"/>
      <w:marRight w:val="0"/>
      <w:marTop w:val="0"/>
      <w:marBottom w:val="0"/>
      <w:divBdr>
        <w:top w:val="none" w:sz="0" w:space="0" w:color="auto"/>
        <w:left w:val="none" w:sz="0" w:space="0" w:color="auto"/>
        <w:bottom w:val="none" w:sz="0" w:space="0" w:color="auto"/>
        <w:right w:val="none" w:sz="0" w:space="0" w:color="auto"/>
      </w:divBdr>
    </w:div>
    <w:div w:id="820197188">
      <w:bodyDiv w:val="1"/>
      <w:marLeft w:val="0"/>
      <w:marRight w:val="0"/>
      <w:marTop w:val="0"/>
      <w:marBottom w:val="0"/>
      <w:divBdr>
        <w:top w:val="none" w:sz="0" w:space="0" w:color="auto"/>
        <w:left w:val="none" w:sz="0" w:space="0" w:color="auto"/>
        <w:bottom w:val="none" w:sz="0" w:space="0" w:color="auto"/>
        <w:right w:val="none" w:sz="0" w:space="0" w:color="auto"/>
      </w:divBdr>
    </w:div>
    <w:div w:id="830635215">
      <w:bodyDiv w:val="1"/>
      <w:marLeft w:val="0"/>
      <w:marRight w:val="0"/>
      <w:marTop w:val="0"/>
      <w:marBottom w:val="0"/>
      <w:divBdr>
        <w:top w:val="none" w:sz="0" w:space="0" w:color="auto"/>
        <w:left w:val="none" w:sz="0" w:space="0" w:color="auto"/>
        <w:bottom w:val="none" w:sz="0" w:space="0" w:color="auto"/>
        <w:right w:val="none" w:sz="0" w:space="0" w:color="auto"/>
      </w:divBdr>
    </w:div>
    <w:div w:id="833648680">
      <w:bodyDiv w:val="1"/>
      <w:marLeft w:val="0"/>
      <w:marRight w:val="0"/>
      <w:marTop w:val="0"/>
      <w:marBottom w:val="0"/>
      <w:divBdr>
        <w:top w:val="none" w:sz="0" w:space="0" w:color="auto"/>
        <w:left w:val="none" w:sz="0" w:space="0" w:color="auto"/>
        <w:bottom w:val="none" w:sz="0" w:space="0" w:color="auto"/>
        <w:right w:val="none" w:sz="0" w:space="0" w:color="auto"/>
      </w:divBdr>
    </w:div>
    <w:div w:id="833884647">
      <w:bodyDiv w:val="1"/>
      <w:marLeft w:val="0"/>
      <w:marRight w:val="0"/>
      <w:marTop w:val="0"/>
      <w:marBottom w:val="0"/>
      <w:divBdr>
        <w:top w:val="none" w:sz="0" w:space="0" w:color="auto"/>
        <w:left w:val="none" w:sz="0" w:space="0" w:color="auto"/>
        <w:bottom w:val="none" w:sz="0" w:space="0" w:color="auto"/>
        <w:right w:val="none" w:sz="0" w:space="0" w:color="auto"/>
      </w:divBdr>
    </w:div>
    <w:div w:id="839346666">
      <w:bodyDiv w:val="1"/>
      <w:marLeft w:val="0"/>
      <w:marRight w:val="0"/>
      <w:marTop w:val="0"/>
      <w:marBottom w:val="0"/>
      <w:divBdr>
        <w:top w:val="none" w:sz="0" w:space="0" w:color="auto"/>
        <w:left w:val="none" w:sz="0" w:space="0" w:color="auto"/>
        <w:bottom w:val="none" w:sz="0" w:space="0" w:color="auto"/>
        <w:right w:val="none" w:sz="0" w:space="0" w:color="auto"/>
      </w:divBdr>
    </w:div>
    <w:div w:id="841236829">
      <w:bodyDiv w:val="1"/>
      <w:marLeft w:val="0"/>
      <w:marRight w:val="0"/>
      <w:marTop w:val="0"/>
      <w:marBottom w:val="0"/>
      <w:divBdr>
        <w:top w:val="none" w:sz="0" w:space="0" w:color="auto"/>
        <w:left w:val="none" w:sz="0" w:space="0" w:color="auto"/>
        <w:bottom w:val="none" w:sz="0" w:space="0" w:color="auto"/>
        <w:right w:val="none" w:sz="0" w:space="0" w:color="auto"/>
      </w:divBdr>
    </w:div>
    <w:div w:id="844174868">
      <w:bodyDiv w:val="1"/>
      <w:marLeft w:val="0"/>
      <w:marRight w:val="0"/>
      <w:marTop w:val="0"/>
      <w:marBottom w:val="0"/>
      <w:divBdr>
        <w:top w:val="none" w:sz="0" w:space="0" w:color="auto"/>
        <w:left w:val="none" w:sz="0" w:space="0" w:color="auto"/>
        <w:bottom w:val="none" w:sz="0" w:space="0" w:color="auto"/>
        <w:right w:val="none" w:sz="0" w:space="0" w:color="auto"/>
      </w:divBdr>
    </w:div>
    <w:div w:id="850754124">
      <w:bodyDiv w:val="1"/>
      <w:marLeft w:val="0"/>
      <w:marRight w:val="0"/>
      <w:marTop w:val="0"/>
      <w:marBottom w:val="0"/>
      <w:divBdr>
        <w:top w:val="none" w:sz="0" w:space="0" w:color="auto"/>
        <w:left w:val="none" w:sz="0" w:space="0" w:color="auto"/>
        <w:bottom w:val="none" w:sz="0" w:space="0" w:color="auto"/>
        <w:right w:val="none" w:sz="0" w:space="0" w:color="auto"/>
      </w:divBdr>
    </w:div>
    <w:div w:id="853347921">
      <w:bodyDiv w:val="1"/>
      <w:marLeft w:val="0"/>
      <w:marRight w:val="0"/>
      <w:marTop w:val="0"/>
      <w:marBottom w:val="0"/>
      <w:divBdr>
        <w:top w:val="none" w:sz="0" w:space="0" w:color="auto"/>
        <w:left w:val="none" w:sz="0" w:space="0" w:color="auto"/>
        <w:bottom w:val="none" w:sz="0" w:space="0" w:color="auto"/>
        <w:right w:val="none" w:sz="0" w:space="0" w:color="auto"/>
      </w:divBdr>
    </w:div>
    <w:div w:id="856621481">
      <w:bodyDiv w:val="1"/>
      <w:marLeft w:val="0"/>
      <w:marRight w:val="0"/>
      <w:marTop w:val="0"/>
      <w:marBottom w:val="0"/>
      <w:divBdr>
        <w:top w:val="none" w:sz="0" w:space="0" w:color="auto"/>
        <w:left w:val="none" w:sz="0" w:space="0" w:color="auto"/>
        <w:bottom w:val="none" w:sz="0" w:space="0" w:color="auto"/>
        <w:right w:val="none" w:sz="0" w:space="0" w:color="auto"/>
      </w:divBdr>
    </w:div>
    <w:div w:id="860818047">
      <w:bodyDiv w:val="1"/>
      <w:marLeft w:val="0"/>
      <w:marRight w:val="0"/>
      <w:marTop w:val="0"/>
      <w:marBottom w:val="0"/>
      <w:divBdr>
        <w:top w:val="none" w:sz="0" w:space="0" w:color="auto"/>
        <w:left w:val="none" w:sz="0" w:space="0" w:color="auto"/>
        <w:bottom w:val="none" w:sz="0" w:space="0" w:color="auto"/>
        <w:right w:val="none" w:sz="0" w:space="0" w:color="auto"/>
      </w:divBdr>
    </w:div>
    <w:div w:id="861405913">
      <w:bodyDiv w:val="1"/>
      <w:marLeft w:val="0"/>
      <w:marRight w:val="0"/>
      <w:marTop w:val="0"/>
      <w:marBottom w:val="0"/>
      <w:divBdr>
        <w:top w:val="none" w:sz="0" w:space="0" w:color="auto"/>
        <w:left w:val="none" w:sz="0" w:space="0" w:color="auto"/>
        <w:bottom w:val="none" w:sz="0" w:space="0" w:color="auto"/>
        <w:right w:val="none" w:sz="0" w:space="0" w:color="auto"/>
      </w:divBdr>
    </w:div>
    <w:div w:id="868908005">
      <w:bodyDiv w:val="1"/>
      <w:marLeft w:val="0"/>
      <w:marRight w:val="0"/>
      <w:marTop w:val="0"/>
      <w:marBottom w:val="0"/>
      <w:divBdr>
        <w:top w:val="none" w:sz="0" w:space="0" w:color="auto"/>
        <w:left w:val="none" w:sz="0" w:space="0" w:color="auto"/>
        <w:bottom w:val="none" w:sz="0" w:space="0" w:color="auto"/>
        <w:right w:val="none" w:sz="0" w:space="0" w:color="auto"/>
      </w:divBdr>
    </w:div>
    <w:div w:id="874778070">
      <w:bodyDiv w:val="1"/>
      <w:marLeft w:val="0"/>
      <w:marRight w:val="0"/>
      <w:marTop w:val="0"/>
      <w:marBottom w:val="0"/>
      <w:divBdr>
        <w:top w:val="none" w:sz="0" w:space="0" w:color="auto"/>
        <w:left w:val="none" w:sz="0" w:space="0" w:color="auto"/>
        <w:bottom w:val="none" w:sz="0" w:space="0" w:color="auto"/>
        <w:right w:val="none" w:sz="0" w:space="0" w:color="auto"/>
      </w:divBdr>
    </w:div>
    <w:div w:id="880635002">
      <w:bodyDiv w:val="1"/>
      <w:marLeft w:val="0"/>
      <w:marRight w:val="0"/>
      <w:marTop w:val="0"/>
      <w:marBottom w:val="0"/>
      <w:divBdr>
        <w:top w:val="none" w:sz="0" w:space="0" w:color="auto"/>
        <w:left w:val="none" w:sz="0" w:space="0" w:color="auto"/>
        <w:bottom w:val="none" w:sz="0" w:space="0" w:color="auto"/>
        <w:right w:val="none" w:sz="0" w:space="0" w:color="auto"/>
      </w:divBdr>
    </w:div>
    <w:div w:id="883563019">
      <w:bodyDiv w:val="1"/>
      <w:marLeft w:val="0"/>
      <w:marRight w:val="0"/>
      <w:marTop w:val="0"/>
      <w:marBottom w:val="0"/>
      <w:divBdr>
        <w:top w:val="none" w:sz="0" w:space="0" w:color="auto"/>
        <w:left w:val="none" w:sz="0" w:space="0" w:color="auto"/>
        <w:bottom w:val="none" w:sz="0" w:space="0" w:color="auto"/>
        <w:right w:val="none" w:sz="0" w:space="0" w:color="auto"/>
      </w:divBdr>
    </w:div>
    <w:div w:id="894925019">
      <w:bodyDiv w:val="1"/>
      <w:marLeft w:val="0"/>
      <w:marRight w:val="0"/>
      <w:marTop w:val="0"/>
      <w:marBottom w:val="0"/>
      <w:divBdr>
        <w:top w:val="none" w:sz="0" w:space="0" w:color="auto"/>
        <w:left w:val="none" w:sz="0" w:space="0" w:color="auto"/>
        <w:bottom w:val="none" w:sz="0" w:space="0" w:color="auto"/>
        <w:right w:val="none" w:sz="0" w:space="0" w:color="auto"/>
      </w:divBdr>
    </w:div>
    <w:div w:id="896281334">
      <w:bodyDiv w:val="1"/>
      <w:marLeft w:val="0"/>
      <w:marRight w:val="0"/>
      <w:marTop w:val="0"/>
      <w:marBottom w:val="0"/>
      <w:divBdr>
        <w:top w:val="none" w:sz="0" w:space="0" w:color="auto"/>
        <w:left w:val="none" w:sz="0" w:space="0" w:color="auto"/>
        <w:bottom w:val="none" w:sz="0" w:space="0" w:color="auto"/>
        <w:right w:val="none" w:sz="0" w:space="0" w:color="auto"/>
      </w:divBdr>
    </w:div>
    <w:div w:id="897547541">
      <w:bodyDiv w:val="1"/>
      <w:marLeft w:val="0"/>
      <w:marRight w:val="0"/>
      <w:marTop w:val="0"/>
      <w:marBottom w:val="0"/>
      <w:divBdr>
        <w:top w:val="none" w:sz="0" w:space="0" w:color="auto"/>
        <w:left w:val="none" w:sz="0" w:space="0" w:color="auto"/>
        <w:bottom w:val="none" w:sz="0" w:space="0" w:color="auto"/>
        <w:right w:val="none" w:sz="0" w:space="0" w:color="auto"/>
      </w:divBdr>
    </w:div>
    <w:div w:id="898172593">
      <w:bodyDiv w:val="1"/>
      <w:marLeft w:val="0"/>
      <w:marRight w:val="0"/>
      <w:marTop w:val="0"/>
      <w:marBottom w:val="0"/>
      <w:divBdr>
        <w:top w:val="none" w:sz="0" w:space="0" w:color="auto"/>
        <w:left w:val="none" w:sz="0" w:space="0" w:color="auto"/>
        <w:bottom w:val="none" w:sz="0" w:space="0" w:color="auto"/>
        <w:right w:val="none" w:sz="0" w:space="0" w:color="auto"/>
      </w:divBdr>
    </w:div>
    <w:div w:id="899486164">
      <w:bodyDiv w:val="1"/>
      <w:marLeft w:val="0"/>
      <w:marRight w:val="0"/>
      <w:marTop w:val="0"/>
      <w:marBottom w:val="0"/>
      <w:divBdr>
        <w:top w:val="none" w:sz="0" w:space="0" w:color="auto"/>
        <w:left w:val="none" w:sz="0" w:space="0" w:color="auto"/>
        <w:bottom w:val="none" w:sz="0" w:space="0" w:color="auto"/>
        <w:right w:val="none" w:sz="0" w:space="0" w:color="auto"/>
      </w:divBdr>
    </w:div>
    <w:div w:id="905839839">
      <w:bodyDiv w:val="1"/>
      <w:marLeft w:val="0"/>
      <w:marRight w:val="0"/>
      <w:marTop w:val="0"/>
      <w:marBottom w:val="0"/>
      <w:divBdr>
        <w:top w:val="none" w:sz="0" w:space="0" w:color="auto"/>
        <w:left w:val="none" w:sz="0" w:space="0" w:color="auto"/>
        <w:bottom w:val="none" w:sz="0" w:space="0" w:color="auto"/>
        <w:right w:val="none" w:sz="0" w:space="0" w:color="auto"/>
      </w:divBdr>
    </w:div>
    <w:div w:id="908492313">
      <w:bodyDiv w:val="1"/>
      <w:marLeft w:val="0"/>
      <w:marRight w:val="0"/>
      <w:marTop w:val="0"/>
      <w:marBottom w:val="0"/>
      <w:divBdr>
        <w:top w:val="none" w:sz="0" w:space="0" w:color="auto"/>
        <w:left w:val="none" w:sz="0" w:space="0" w:color="auto"/>
        <w:bottom w:val="none" w:sz="0" w:space="0" w:color="auto"/>
        <w:right w:val="none" w:sz="0" w:space="0" w:color="auto"/>
      </w:divBdr>
    </w:div>
    <w:div w:id="911156390">
      <w:bodyDiv w:val="1"/>
      <w:marLeft w:val="0"/>
      <w:marRight w:val="0"/>
      <w:marTop w:val="0"/>
      <w:marBottom w:val="0"/>
      <w:divBdr>
        <w:top w:val="none" w:sz="0" w:space="0" w:color="auto"/>
        <w:left w:val="none" w:sz="0" w:space="0" w:color="auto"/>
        <w:bottom w:val="none" w:sz="0" w:space="0" w:color="auto"/>
        <w:right w:val="none" w:sz="0" w:space="0" w:color="auto"/>
      </w:divBdr>
    </w:div>
    <w:div w:id="916521468">
      <w:bodyDiv w:val="1"/>
      <w:marLeft w:val="0"/>
      <w:marRight w:val="0"/>
      <w:marTop w:val="0"/>
      <w:marBottom w:val="0"/>
      <w:divBdr>
        <w:top w:val="none" w:sz="0" w:space="0" w:color="auto"/>
        <w:left w:val="none" w:sz="0" w:space="0" w:color="auto"/>
        <w:bottom w:val="none" w:sz="0" w:space="0" w:color="auto"/>
        <w:right w:val="none" w:sz="0" w:space="0" w:color="auto"/>
      </w:divBdr>
    </w:div>
    <w:div w:id="921136017">
      <w:bodyDiv w:val="1"/>
      <w:marLeft w:val="0"/>
      <w:marRight w:val="0"/>
      <w:marTop w:val="0"/>
      <w:marBottom w:val="0"/>
      <w:divBdr>
        <w:top w:val="none" w:sz="0" w:space="0" w:color="auto"/>
        <w:left w:val="none" w:sz="0" w:space="0" w:color="auto"/>
        <w:bottom w:val="none" w:sz="0" w:space="0" w:color="auto"/>
        <w:right w:val="none" w:sz="0" w:space="0" w:color="auto"/>
      </w:divBdr>
    </w:div>
    <w:div w:id="921255979">
      <w:bodyDiv w:val="1"/>
      <w:marLeft w:val="0"/>
      <w:marRight w:val="0"/>
      <w:marTop w:val="0"/>
      <w:marBottom w:val="0"/>
      <w:divBdr>
        <w:top w:val="none" w:sz="0" w:space="0" w:color="auto"/>
        <w:left w:val="none" w:sz="0" w:space="0" w:color="auto"/>
        <w:bottom w:val="none" w:sz="0" w:space="0" w:color="auto"/>
        <w:right w:val="none" w:sz="0" w:space="0" w:color="auto"/>
      </w:divBdr>
    </w:div>
    <w:div w:id="922026131">
      <w:bodyDiv w:val="1"/>
      <w:marLeft w:val="0"/>
      <w:marRight w:val="0"/>
      <w:marTop w:val="0"/>
      <w:marBottom w:val="0"/>
      <w:divBdr>
        <w:top w:val="none" w:sz="0" w:space="0" w:color="auto"/>
        <w:left w:val="none" w:sz="0" w:space="0" w:color="auto"/>
        <w:bottom w:val="none" w:sz="0" w:space="0" w:color="auto"/>
        <w:right w:val="none" w:sz="0" w:space="0" w:color="auto"/>
      </w:divBdr>
    </w:div>
    <w:div w:id="922835967">
      <w:bodyDiv w:val="1"/>
      <w:marLeft w:val="0"/>
      <w:marRight w:val="0"/>
      <w:marTop w:val="0"/>
      <w:marBottom w:val="0"/>
      <w:divBdr>
        <w:top w:val="none" w:sz="0" w:space="0" w:color="auto"/>
        <w:left w:val="none" w:sz="0" w:space="0" w:color="auto"/>
        <w:bottom w:val="none" w:sz="0" w:space="0" w:color="auto"/>
        <w:right w:val="none" w:sz="0" w:space="0" w:color="auto"/>
      </w:divBdr>
    </w:div>
    <w:div w:id="922908073">
      <w:bodyDiv w:val="1"/>
      <w:marLeft w:val="0"/>
      <w:marRight w:val="0"/>
      <w:marTop w:val="0"/>
      <w:marBottom w:val="0"/>
      <w:divBdr>
        <w:top w:val="none" w:sz="0" w:space="0" w:color="auto"/>
        <w:left w:val="none" w:sz="0" w:space="0" w:color="auto"/>
        <w:bottom w:val="none" w:sz="0" w:space="0" w:color="auto"/>
        <w:right w:val="none" w:sz="0" w:space="0" w:color="auto"/>
      </w:divBdr>
    </w:div>
    <w:div w:id="923803218">
      <w:bodyDiv w:val="1"/>
      <w:marLeft w:val="0"/>
      <w:marRight w:val="0"/>
      <w:marTop w:val="0"/>
      <w:marBottom w:val="0"/>
      <w:divBdr>
        <w:top w:val="none" w:sz="0" w:space="0" w:color="auto"/>
        <w:left w:val="none" w:sz="0" w:space="0" w:color="auto"/>
        <w:bottom w:val="none" w:sz="0" w:space="0" w:color="auto"/>
        <w:right w:val="none" w:sz="0" w:space="0" w:color="auto"/>
      </w:divBdr>
    </w:div>
    <w:div w:id="923951900">
      <w:bodyDiv w:val="1"/>
      <w:marLeft w:val="0"/>
      <w:marRight w:val="0"/>
      <w:marTop w:val="0"/>
      <w:marBottom w:val="0"/>
      <w:divBdr>
        <w:top w:val="none" w:sz="0" w:space="0" w:color="auto"/>
        <w:left w:val="none" w:sz="0" w:space="0" w:color="auto"/>
        <w:bottom w:val="none" w:sz="0" w:space="0" w:color="auto"/>
        <w:right w:val="none" w:sz="0" w:space="0" w:color="auto"/>
      </w:divBdr>
    </w:div>
    <w:div w:id="931664609">
      <w:bodyDiv w:val="1"/>
      <w:marLeft w:val="0"/>
      <w:marRight w:val="0"/>
      <w:marTop w:val="0"/>
      <w:marBottom w:val="0"/>
      <w:divBdr>
        <w:top w:val="none" w:sz="0" w:space="0" w:color="auto"/>
        <w:left w:val="none" w:sz="0" w:space="0" w:color="auto"/>
        <w:bottom w:val="none" w:sz="0" w:space="0" w:color="auto"/>
        <w:right w:val="none" w:sz="0" w:space="0" w:color="auto"/>
      </w:divBdr>
    </w:div>
    <w:div w:id="934561206">
      <w:bodyDiv w:val="1"/>
      <w:marLeft w:val="0"/>
      <w:marRight w:val="0"/>
      <w:marTop w:val="0"/>
      <w:marBottom w:val="0"/>
      <w:divBdr>
        <w:top w:val="none" w:sz="0" w:space="0" w:color="auto"/>
        <w:left w:val="none" w:sz="0" w:space="0" w:color="auto"/>
        <w:bottom w:val="none" w:sz="0" w:space="0" w:color="auto"/>
        <w:right w:val="none" w:sz="0" w:space="0" w:color="auto"/>
      </w:divBdr>
    </w:div>
    <w:div w:id="945847402">
      <w:bodyDiv w:val="1"/>
      <w:marLeft w:val="0"/>
      <w:marRight w:val="0"/>
      <w:marTop w:val="0"/>
      <w:marBottom w:val="0"/>
      <w:divBdr>
        <w:top w:val="none" w:sz="0" w:space="0" w:color="auto"/>
        <w:left w:val="none" w:sz="0" w:space="0" w:color="auto"/>
        <w:bottom w:val="none" w:sz="0" w:space="0" w:color="auto"/>
        <w:right w:val="none" w:sz="0" w:space="0" w:color="auto"/>
      </w:divBdr>
    </w:div>
    <w:div w:id="952782553">
      <w:bodyDiv w:val="1"/>
      <w:marLeft w:val="0"/>
      <w:marRight w:val="0"/>
      <w:marTop w:val="0"/>
      <w:marBottom w:val="0"/>
      <w:divBdr>
        <w:top w:val="none" w:sz="0" w:space="0" w:color="auto"/>
        <w:left w:val="none" w:sz="0" w:space="0" w:color="auto"/>
        <w:bottom w:val="none" w:sz="0" w:space="0" w:color="auto"/>
        <w:right w:val="none" w:sz="0" w:space="0" w:color="auto"/>
      </w:divBdr>
    </w:div>
    <w:div w:id="957182514">
      <w:bodyDiv w:val="1"/>
      <w:marLeft w:val="0"/>
      <w:marRight w:val="0"/>
      <w:marTop w:val="0"/>
      <w:marBottom w:val="0"/>
      <w:divBdr>
        <w:top w:val="none" w:sz="0" w:space="0" w:color="auto"/>
        <w:left w:val="none" w:sz="0" w:space="0" w:color="auto"/>
        <w:bottom w:val="none" w:sz="0" w:space="0" w:color="auto"/>
        <w:right w:val="none" w:sz="0" w:space="0" w:color="auto"/>
      </w:divBdr>
    </w:div>
    <w:div w:id="958221901">
      <w:bodyDiv w:val="1"/>
      <w:marLeft w:val="0"/>
      <w:marRight w:val="0"/>
      <w:marTop w:val="0"/>
      <w:marBottom w:val="0"/>
      <w:divBdr>
        <w:top w:val="none" w:sz="0" w:space="0" w:color="auto"/>
        <w:left w:val="none" w:sz="0" w:space="0" w:color="auto"/>
        <w:bottom w:val="none" w:sz="0" w:space="0" w:color="auto"/>
        <w:right w:val="none" w:sz="0" w:space="0" w:color="auto"/>
      </w:divBdr>
    </w:div>
    <w:div w:id="963081675">
      <w:bodyDiv w:val="1"/>
      <w:marLeft w:val="0"/>
      <w:marRight w:val="0"/>
      <w:marTop w:val="0"/>
      <w:marBottom w:val="0"/>
      <w:divBdr>
        <w:top w:val="none" w:sz="0" w:space="0" w:color="auto"/>
        <w:left w:val="none" w:sz="0" w:space="0" w:color="auto"/>
        <w:bottom w:val="none" w:sz="0" w:space="0" w:color="auto"/>
        <w:right w:val="none" w:sz="0" w:space="0" w:color="auto"/>
      </w:divBdr>
    </w:div>
    <w:div w:id="963193108">
      <w:bodyDiv w:val="1"/>
      <w:marLeft w:val="0"/>
      <w:marRight w:val="0"/>
      <w:marTop w:val="0"/>
      <w:marBottom w:val="0"/>
      <w:divBdr>
        <w:top w:val="none" w:sz="0" w:space="0" w:color="auto"/>
        <w:left w:val="none" w:sz="0" w:space="0" w:color="auto"/>
        <w:bottom w:val="none" w:sz="0" w:space="0" w:color="auto"/>
        <w:right w:val="none" w:sz="0" w:space="0" w:color="auto"/>
      </w:divBdr>
    </w:div>
    <w:div w:id="966812951">
      <w:bodyDiv w:val="1"/>
      <w:marLeft w:val="0"/>
      <w:marRight w:val="0"/>
      <w:marTop w:val="0"/>
      <w:marBottom w:val="0"/>
      <w:divBdr>
        <w:top w:val="none" w:sz="0" w:space="0" w:color="auto"/>
        <w:left w:val="none" w:sz="0" w:space="0" w:color="auto"/>
        <w:bottom w:val="none" w:sz="0" w:space="0" w:color="auto"/>
        <w:right w:val="none" w:sz="0" w:space="0" w:color="auto"/>
      </w:divBdr>
    </w:div>
    <w:div w:id="969478543">
      <w:bodyDiv w:val="1"/>
      <w:marLeft w:val="0"/>
      <w:marRight w:val="0"/>
      <w:marTop w:val="0"/>
      <w:marBottom w:val="0"/>
      <w:divBdr>
        <w:top w:val="none" w:sz="0" w:space="0" w:color="auto"/>
        <w:left w:val="none" w:sz="0" w:space="0" w:color="auto"/>
        <w:bottom w:val="none" w:sz="0" w:space="0" w:color="auto"/>
        <w:right w:val="none" w:sz="0" w:space="0" w:color="auto"/>
      </w:divBdr>
    </w:div>
    <w:div w:id="973754906">
      <w:bodyDiv w:val="1"/>
      <w:marLeft w:val="0"/>
      <w:marRight w:val="0"/>
      <w:marTop w:val="0"/>
      <w:marBottom w:val="0"/>
      <w:divBdr>
        <w:top w:val="none" w:sz="0" w:space="0" w:color="auto"/>
        <w:left w:val="none" w:sz="0" w:space="0" w:color="auto"/>
        <w:bottom w:val="none" w:sz="0" w:space="0" w:color="auto"/>
        <w:right w:val="none" w:sz="0" w:space="0" w:color="auto"/>
      </w:divBdr>
    </w:div>
    <w:div w:id="974867020">
      <w:bodyDiv w:val="1"/>
      <w:marLeft w:val="0"/>
      <w:marRight w:val="0"/>
      <w:marTop w:val="0"/>
      <w:marBottom w:val="0"/>
      <w:divBdr>
        <w:top w:val="none" w:sz="0" w:space="0" w:color="auto"/>
        <w:left w:val="none" w:sz="0" w:space="0" w:color="auto"/>
        <w:bottom w:val="none" w:sz="0" w:space="0" w:color="auto"/>
        <w:right w:val="none" w:sz="0" w:space="0" w:color="auto"/>
      </w:divBdr>
    </w:div>
    <w:div w:id="979654022">
      <w:bodyDiv w:val="1"/>
      <w:marLeft w:val="0"/>
      <w:marRight w:val="0"/>
      <w:marTop w:val="0"/>
      <w:marBottom w:val="0"/>
      <w:divBdr>
        <w:top w:val="none" w:sz="0" w:space="0" w:color="auto"/>
        <w:left w:val="none" w:sz="0" w:space="0" w:color="auto"/>
        <w:bottom w:val="none" w:sz="0" w:space="0" w:color="auto"/>
        <w:right w:val="none" w:sz="0" w:space="0" w:color="auto"/>
      </w:divBdr>
    </w:div>
    <w:div w:id="981733336">
      <w:bodyDiv w:val="1"/>
      <w:marLeft w:val="0"/>
      <w:marRight w:val="0"/>
      <w:marTop w:val="0"/>
      <w:marBottom w:val="0"/>
      <w:divBdr>
        <w:top w:val="none" w:sz="0" w:space="0" w:color="auto"/>
        <w:left w:val="none" w:sz="0" w:space="0" w:color="auto"/>
        <w:bottom w:val="none" w:sz="0" w:space="0" w:color="auto"/>
        <w:right w:val="none" w:sz="0" w:space="0" w:color="auto"/>
      </w:divBdr>
    </w:div>
    <w:div w:id="987173833">
      <w:bodyDiv w:val="1"/>
      <w:marLeft w:val="0"/>
      <w:marRight w:val="0"/>
      <w:marTop w:val="0"/>
      <w:marBottom w:val="0"/>
      <w:divBdr>
        <w:top w:val="none" w:sz="0" w:space="0" w:color="auto"/>
        <w:left w:val="none" w:sz="0" w:space="0" w:color="auto"/>
        <w:bottom w:val="none" w:sz="0" w:space="0" w:color="auto"/>
        <w:right w:val="none" w:sz="0" w:space="0" w:color="auto"/>
      </w:divBdr>
    </w:div>
    <w:div w:id="991064782">
      <w:bodyDiv w:val="1"/>
      <w:marLeft w:val="0"/>
      <w:marRight w:val="0"/>
      <w:marTop w:val="0"/>
      <w:marBottom w:val="0"/>
      <w:divBdr>
        <w:top w:val="none" w:sz="0" w:space="0" w:color="auto"/>
        <w:left w:val="none" w:sz="0" w:space="0" w:color="auto"/>
        <w:bottom w:val="none" w:sz="0" w:space="0" w:color="auto"/>
        <w:right w:val="none" w:sz="0" w:space="0" w:color="auto"/>
      </w:divBdr>
    </w:div>
    <w:div w:id="992028931">
      <w:bodyDiv w:val="1"/>
      <w:marLeft w:val="0"/>
      <w:marRight w:val="0"/>
      <w:marTop w:val="0"/>
      <w:marBottom w:val="0"/>
      <w:divBdr>
        <w:top w:val="none" w:sz="0" w:space="0" w:color="auto"/>
        <w:left w:val="none" w:sz="0" w:space="0" w:color="auto"/>
        <w:bottom w:val="none" w:sz="0" w:space="0" w:color="auto"/>
        <w:right w:val="none" w:sz="0" w:space="0" w:color="auto"/>
      </w:divBdr>
    </w:div>
    <w:div w:id="998728204">
      <w:bodyDiv w:val="1"/>
      <w:marLeft w:val="0"/>
      <w:marRight w:val="0"/>
      <w:marTop w:val="0"/>
      <w:marBottom w:val="0"/>
      <w:divBdr>
        <w:top w:val="none" w:sz="0" w:space="0" w:color="auto"/>
        <w:left w:val="none" w:sz="0" w:space="0" w:color="auto"/>
        <w:bottom w:val="none" w:sz="0" w:space="0" w:color="auto"/>
        <w:right w:val="none" w:sz="0" w:space="0" w:color="auto"/>
      </w:divBdr>
    </w:div>
    <w:div w:id="999817653">
      <w:bodyDiv w:val="1"/>
      <w:marLeft w:val="0"/>
      <w:marRight w:val="0"/>
      <w:marTop w:val="0"/>
      <w:marBottom w:val="0"/>
      <w:divBdr>
        <w:top w:val="none" w:sz="0" w:space="0" w:color="auto"/>
        <w:left w:val="none" w:sz="0" w:space="0" w:color="auto"/>
        <w:bottom w:val="none" w:sz="0" w:space="0" w:color="auto"/>
        <w:right w:val="none" w:sz="0" w:space="0" w:color="auto"/>
      </w:divBdr>
    </w:div>
    <w:div w:id="1001347268">
      <w:bodyDiv w:val="1"/>
      <w:marLeft w:val="0"/>
      <w:marRight w:val="0"/>
      <w:marTop w:val="0"/>
      <w:marBottom w:val="0"/>
      <w:divBdr>
        <w:top w:val="none" w:sz="0" w:space="0" w:color="auto"/>
        <w:left w:val="none" w:sz="0" w:space="0" w:color="auto"/>
        <w:bottom w:val="none" w:sz="0" w:space="0" w:color="auto"/>
        <w:right w:val="none" w:sz="0" w:space="0" w:color="auto"/>
      </w:divBdr>
    </w:div>
    <w:div w:id="1013651043">
      <w:bodyDiv w:val="1"/>
      <w:marLeft w:val="0"/>
      <w:marRight w:val="0"/>
      <w:marTop w:val="0"/>
      <w:marBottom w:val="0"/>
      <w:divBdr>
        <w:top w:val="none" w:sz="0" w:space="0" w:color="auto"/>
        <w:left w:val="none" w:sz="0" w:space="0" w:color="auto"/>
        <w:bottom w:val="none" w:sz="0" w:space="0" w:color="auto"/>
        <w:right w:val="none" w:sz="0" w:space="0" w:color="auto"/>
      </w:divBdr>
    </w:div>
    <w:div w:id="1016351698">
      <w:bodyDiv w:val="1"/>
      <w:marLeft w:val="0"/>
      <w:marRight w:val="0"/>
      <w:marTop w:val="0"/>
      <w:marBottom w:val="0"/>
      <w:divBdr>
        <w:top w:val="none" w:sz="0" w:space="0" w:color="auto"/>
        <w:left w:val="none" w:sz="0" w:space="0" w:color="auto"/>
        <w:bottom w:val="none" w:sz="0" w:space="0" w:color="auto"/>
        <w:right w:val="none" w:sz="0" w:space="0" w:color="auto"/>
      </w:divBdr>
    </w:div>
    <w:div w:id="1020207969">
      <w:bodyDiv w:val="1"/>
      <w:marLeft w:val="0"/>
      <w:marRight w:val="0"/>
      <w:marTop w:val="0"/>
      <w:marBottom w:val="0"/>
      <w:divBdr>
        <w:top w:val="none" w:sz="0" w:space="0" w:color="auto"/>
        <w:left w:val="none" w:sz="0" w:space="0" w:color="auto"/>
        <w:bottom w:val="none" w:sz="0" w:space="0" w:color="auto"/>
        <w:right w:val="none" w:sz="0" w:space="0" w:color="auto"/>
      </w:divBdr>
    </w:div>
    <w:div w:id="1023287040">
      <w:bodyDiv w:val="1"/>
      <w:marLeft w:val="0"/>
      <w:marRight w:val="0"/>
      <w:marTop w:val="0"/>
      <w:marBottom w:val="0"/>
      <w:divBdr>
        <w:top w:val="none" w:sz="0" w:space="0" w:color="auto"/>
        <w:left w:val="none" w:sz="0" w:space="0" w:color="auto"/>
        <w:bottom w:val="none" w:sz="0" w:space="0" w:color="auto"/>
        <w:right w:val="none" w:sz="0" w:space="0" w:color="auto"/>
      </w:divBdr>
    </w:div>
    <w:div w:id="1025061864">
      <w:bodyDiv w:val="1"/>
      <w:marLeft w:val="0"/>
      <w:marRight w:val="0"/>
      <w:marTop w:val="0"/>
      <w:marBottom w:val="0"/>
      <w:divBdr>
        <w:top w:val="none" w:sz="0" w:space="0" w:color="auto"/>
        <w:left w:val="none" w:sz="0" w:space="0" w:color="auto"/>
        <w:bottom w:val="none" w:sz="0" w:space="0" w:color="auto"/>
        <w:right w:val="none" w:sz="0" w:space="0" w:color="auto"/>
      </w:divBdr>
    </w:div>
    <w:div w:id="1028145130">
      <w:bodyDiv w:val="1"/>
      <w:marLeft w:val="0"/>
      <w:marRight w:val="0"/>
      <w:marTop w:val="0"/>
      <w:marBottom w:val="0"/>
      <w:divBdr>
        <w:top w:val="none" w:sz="0" w:space="0" w:color="auto"/>
        <w:left w:val="none" w:sz="0" w:space="0" w:color="auto"/>
        <w:bottom w:val="none" w:sz="0" w:space="0" w:color="auto"/>
        <w:right w:val="none" w:sz="0" w:space="0" w:color="auto"/>
      </w:divBdr>
    </w:div>
    <w:div w:id="1030648469">
      <w:bodyDiv w:val="1"/>
      <w:marLeft w:val="0"/>
      <w:marRight w:val="0"/>
      <w:marTop w:val="0"/>
      <w:marBottom w:val="0"/>
      <w:divBdr>
        <w:top w:val="none" w:sz="0" w:space="0" w:color="auto"/>
        <w:left w:val="none" w:sz="0" w:space="0" w:color="auto"/>
        <w:bottom w:val="none" w:sz="0" w:space="0" w:color="auto"/>
        <w:right w:val="none" w:sz="0" w:space="0" w:color="auto"/>
      </w:divBdr>
    </w:div>
    <w:div w:id="1035425586">
      <w:bodyDiv w:val="1"/>
      <w:marLeft w:val="0"/>
      <w:marRight w:val="0"/>
      <w:marTop w:val="0"/>
      <w:marBottom w:val="0"/>
      <w:divBdr>
        <w:top w:val="none" w:sz="0" w:space="0" w:color="auto"/>
        <w:left w:val="none" w:sz="0" w:space="0" w:color="auto"/>
        <w:bottom w:val="none" w:sz="0" w:space="0" w:color="auto"/>
        <w:right w:val="none" w:sz="0" w:space="0" w:color="auto"/>
      </w:divBdr>
    </w:div>
    <w:div w:id="1036273255">
      <w:bodyDiv w:val="1"/>
      <w:marLeft w:val="0"/>
      <w:marRight w:val="0"/>
      <w:marTop w:val="0"/>
      <w:marBottom w:val="0"/>
      <w:divBdr>
        <w:top w:val="none" w:sz="0" w:space="0" w:color="auto"/>
        <w:left w:val="none" w:sz="0" w:space="0" w:color="auto"/>
        <w:bottom w:val="none" w:sz="0" w:space="0" w:color="auto"/>
        <w:right w:val="none" w:sz="0" w:space="0" w:color="auto"/>
      </w:divBdr>
    </w:div>
    <w:div w:id="1037775229">
      <w:bodyDiv w:val="1"/>
      <w:marLeft w:val="0"/>
      <w:marRight w:val="0"/>
      <w:marTop w:val="0"/>
      <w:marBottom w:val="0"/>
      <w:divBdr>
        <w:top w:val="none" w:sz="0" w:space="0" w:color="auto"/>
        <w:left w:val="none" w:sz="0" w:space="0" w:color="auto"/>
        <w:bottom w:val="none" w:sz="0" w:space="0" w:color="auto"/>
        <w:right w:val="none" w:sz="0" w:space="0" w:color="auto"/>
      </w:divBdr>
    </w:div>
    <w:div w:id="1039204400">
      <w:bodyDiv w:val="1"/>
      <w:marLeft w:val="0"/>
      <w:marRight w:val="0"/>
      <w:marTop w:val="0"/>
      <w:marBottom w:val="0"/>
      <w:divBdr>
        <w:top w:val="none" w:sz="0" w:space="0" w:color="auto"/>
        <w:left w:val="none" w:sz="0" w:space="0" w:color="auto"/>
        <w:bottom w:val="none" w:sz="0" w:space="0" w:color="auto"/>
        <w:right w:val="none" w:sz="0" w:space="0" w:color="auto"/>
      </w:divBdr>
    </w:div>
    <w:div w:id="1039432441">
      <w:bodyDiv w:val="1"/>
      <w:marLeft w:val="0"/>
      <w:marRight w:val="0"/>
      <w:marTop w:val="0"/>
      <w:marBottom w:val="0"/>
      <w:divBdr>
        <w:top w:val="none" w:sz="0" w:space="0" w:color="auto"/>
        <w:left w:val="none" w:sz="0" w:space="0" w:color="auto"/>
        <w:bottom w:val="none" w:sz="0" w:space="0" w:color="auto"/>
        <w:right w:val="none" w:sz="0" w:space="0" w:color="auto"/>
      </w:divBdr>
    </w:div>
    <w:div w:id="1041787920">
      <w:bodyDiv w:val="1"/>
      <w:marLeft w:val="0"/>
      <w:marRight w:val="0"/>
      <w:marTop w:val="0"/>
      <w:marBottom w:val="0"/>
      <w:divBdr>
        <w:top w:val="none" w:sz="0" w:space="0" w:color="auto"/>
        <w:left w:val="none" w:sz="0" w:space="0" w:color="auto"/>
        <w:bottom w:val="none" w:sz="0" w:space="0" w:color="auto"/>
        <w:right w:val="none" w:sz="0" w:space="0" w:color="auto"/>
      </w:divBdr>
    </w:div>
    <w:div w:id="1048452157">
      <w:bodyDiv w:val="1"/>
      <w:marLeft w:val="0"/>
      <w:marRight w:val="0"/>
      <w:marTop w:val="0"/>
      <w:marBottom w:val="0"/>
      <w:divBdr>
        <w:top w:val="none" w:sz="0" w:space="0" w:color="auto"/>
        <w:left w:val="none" w:sz="0" w:space="0" w:color="auto"/>
        <w:bottom w:val="none" w:sz="0" w:space="0" w:color="auto"/>
        <w:right w:val="none" w:sz="0" w:space="0" w:color="auto"/>
      </w:divBdr>
    </w:div>
    <w:div w:id="1049035653">
      <w:bodyDiv w:val="1"/>
      <w:marLeft w:val="0"/>
      <w:marRight w:val="0"/>
      <w:marTop w:val="0"/>
      <w:marBottom w:val="0"/>
      <w:divBdr>
        <w:top w:val="none" w:sz="0" w:space="0" w:color="auto"/>
        <w:left w:val="none" w:sz="0" w:space="0" w:color="auto"/>
        <w:bottom w:val="none" w:sz="0" w:space="0" w:color="auto"/>
        <w:right w:val="none" w:sz="0" w:space="0" w:color="auto"/>
      </w:divBdr>
    </w:div>
    <w:div w:id="1053771120">
      <w:bodyDiv w:val="1"/>
      <w:marLeft w:val="0"/>
      <w:marRight w:val="0"/>
      <w:marTop w:val="0"/>
      <w:marBottom w:val="0"/>
      <w:divBdr>
        <w:top w:val="none" w:sz="0" w:space="0" w:color="auto"/>
        <w:left w:val="none" w:sz="0" w:space="0" w:color="auto"/>
        <w:bottom w:val="none" w:sz="0" w:space="0" w:color="auto"/>
        <w:right w:val="none" w:sz="0" w:space="0" w:color="auto"/>
      </w:divBdr>
    </w:div>
    <w:div w:id="1054542473">
      <w:bodyDiv w:val="1"/>
      <w:marLeft w:val="0"/>
      <w:marRight w:val="0"/>
      <w:marTop w:val="0"/>
      <w:marBottom w:val="0"/>
      <w:divBdr>
        <w:top w:val="none" w:sz="0" w:space="0" w:color="auto"/>
        <w:left w:val="none" w:sz="0" w:space="0" w:color="auto"/>
        <w:bottom w:val="none" w:sz="0" w:space="0" w:color="auto"/>
        <w:right w:val="none" w:sz="0" w:space="0" w:color="auto"/>
      </w:divBdr>
    </w:div>
    <w:div w:id="1056735002">
      <w:bodyDiv w:val="1"/>
      <w:marLeft w:val="0"/>
      <w:marRight w:val="0"/>
      <w:marTop w:val="0"/>
      <w:marBottom w:val="0"/>
      <w:divBdr>
        <w:top w:val="none" w:sz="0" w:space="0" w:color="auto"/>
        <w:left w:val="none" w:sz="0" w:space="0" w:color="auto"/>
        <w:bottom w:val="none" w:sz="0" w:space="0" w:color="auto"/>
        <w:right w:val="none" w:sz="0" w:space="0" w:color="auto"/>
      </w:divBdr>
    </w:div>
    <w:div w:id="1058824893">
      <w:bodyDiv w:val="1"/>
      <w:marLeft w:val="0"/>
      <w:marRight w:val="0"/>
      <w:marTop w:val="0"/>
      <w:marBottom w:val="0"/>
      <w:divBdr>
        <w:top w:val="none" w:sz="0" w:space="0" w:color="auto"/>
        <w:left w:val="none" w:sz="0" w:space="0" w:color="auto"/>
        <w:bottom w:val="none" w:sz="0" w:space="0" w:color="auto"/>
        <w:right w:val="none" w:sz="0" w:space="0" w:color="auto"/>
      </w:divBdr>
    </w:div>
    <w:div w:id="1065567834">
      <w:bodyDiv w:val="1"/>
      <w:marLeft w:val="0"/>
      <w:marRight w:val="0"/>
      <w:marTop w:val="0"/>
      <w:marBottom w:val="0"/>
      <w:divBdr>
        <w:top w:val="none" w:sz="0" w:space="0" w:color="auto"/>
        <w:left w:val="none" w:sz="0" w:space="0" w:color="auto"/>
        <w:bottom w:val="none" w:sz="0" w:space="0" w:color="auto"/>
        <w:right w:val="none" w:sz="0" w:space="0" w:color="auto"/>
      </w:divBdr>
    </w:div>
    <w:div w:id="1070274793">
      <w:bodyDiv w:val="1"/>
      <w:marLeft w:val="0"/>
      <w:marRight w:val="0"/>
      <w:marTop w:val="0"/>
      <w:marBottom w:val="0"/>
      <w:divBdr>
        <w:top w:val="none" w:sz="0" w:space="0" w:color="auto"/>
        <w:left w:val="none" w:sz="0" w:space="0" w:color="auto"/>
        <w:bottom w:val="none" w:sz="0" w:space="0" w:color="auto"/>
        <w:right w:val="none" w:sz="0" w:space="0" w:color="auto"/>
      </w:divBdr>
    </w:div>
    <w:div w:id="1074207457">
      <w:bodyDiv w:val="1"/>
      <w:marLeft w:val="0"/>
      <w:marRight w:val="0"/>
      <w:marTop w:val="0"/>
      <w:marBottom w:val="0"/>
      <w:divBdr>
        <w:top w:val="none" w:sz="0" w:space="0" w:color="auto"/>
        <w:left w:val="none" w:sz="0" w:space="0" w:color="auto"/>
        <w:bottom w:val="none" w:sz="0" w:space="0" w:color="auto"/>
        <w:right w:val="none" w:sz="0" w:space="0" w:color="auto"/>
      </w:divBdr>
    </w:div>
    <w:div w:id="1076318179">
      <w:bodyDiv w:val="1"/>
      <w:marLeft w:val="0"/>
      <w:marRight w:val="0"/>
      <w:marTop w:val="0"/>
      <w:marBottom w:val="0"/>
      <w:divBdr>
        <w:top w:val="none" w:sz="0" w:space="0" w:color="auto"/>
        <w:left w:val="none" w:sz="0" w:space="0" w:color="auto"/>
        <w:bottom w:val="none" w:sz="0" w:space="0" w:color="auto"/>
        <w:right w:val="none" w:sz="0" w:space="0" w:color="auto"/>
      </w:divBdr>
    </w:div>
    <w:div w:id="1078791720">
      <w:bodyDiv w:val="1"/>
      <w:marLeft w:val="0"/>
      <w:marRight w:val="0"/>
      <w:marTop w:val="0"/>
      <w:marBottom w:val="0"/>
      <w:divBdr>
        <w:top w:val="none" w:sz="0" w:space="0" w:color="auto"/>
        <w:left w:val="none" w:sz="0" w:space="0" w:color="auto"/>
        <w:bottom w:val="none" w:sz="0" w:space="0" w:color="auto"/>
        <w:right w:val="none" w:sz="0" w:space="0" w:color="auto"/>
      </w:divBdr>
    </w:div>
    <w:div w:id="1081757969">
      <w:bodyDiv w:val="1"/>
      <w:marLeft w:val="0"/>
      <w:marRight w:val="0"/>
      <w:marTop w:val="0"/>
      <w:marBottom w:val="0"/>
      <w:divBdr>
        <w:top w:val="none" w:sz="0" w:space="0" w:color="auto"/>
        <w:left w:val="none" w:sz="0" w:space="0" w:color="auto"/>
        <w:bottom w:val="none" w:sz="0" w:space="0" w:color="auto"/>
        <w:right w:val="none" w:sz="0" w:space="0" w:color="auto"/>
      </w:divBdr>
    </w:div>
    <w:div w:id="1082214104">
      <w:bodyDiv w:val="1"/>
      <w:marLeft w:val="0"/>
      <w:marRight w:val="0"/>
      <w:marTop w:val="0"/>
      <w:marBottom w:val="0"/>
      <w:divBdr>
        <w:top w:val="none" w:sz="0" w:space="0" w:color="auto"/>
        <w:left w:val="none" w:sz="0" w:space="0" w:color="auto"/>
        <w:bottom w:val="none" w:sz="0" w:space="0" w:color="auto"/>
        <w:right w:val="none" w:sz="0" w:space="0" w:color="auto"/>
      </w:divBdr>
    </w:div>
    <w:div w:id="1085371856">
      <w:bodyDiv w:val="1"/>
      <w:marLeft w:val="0"/>
      <w:marRight w:val="0"/>
      <w:marTop w:val="0"/>
      <w:marBottom w:val="0"/>
      <w:divBdr>
        <w:top w:val="none" w:sz="0" w:space="0" w:color="auto"/>
        <w:left w:val="none" w:sz="0" w:space="0" w:color="auto"/>
        <w:bottom w:val="none" w:sz="0" w:space="0" w:color="auto"/>
        <w:right w:val="none" w:sz="0" w:space="0" w:color="auto"/>
      </w:divBdr>
    </w:div>
    <w:div w:id="1090925102">
      <w:bodyDiv w:val="1"/>
      <w:marLeft w:val="0"/>
      <w:marRight w:val="0"/>
      <w:marTop w:val="0"/>
      <w:marBottom w:val="0"/>
      <w:divBdr>
        <w:top w:val="none" w:sz="0" w:space="0" w:color="auto"/>
        <w:left w:val="none" w:sz="0" w:space="0" w:color="auto"/>
        <w:bottom w:val="none" w:sz="0" w:space="0" w:color="auto"/>
        <w:right w:val="none" w:sz="0" w:space="0" w:color="auto"/>
      </w:divBdr>
    </w:div>
    <w:div w:id="1093743482">
      <w:bodyDiv w:val="1"/>
      <w:marLeft w:val="0"/>
      <w:marRight w:val="0"/>
      <w:marTop w:val="0"/>
      <w:marBottom w:val="0"/>
      <w:divBdr>
        <w:top w:val="none" w:sz="0" w:space="0" w:color="auto"/>
        <w:left w:val="none" w:sz="0" w:space="0" w:color="auto"/>
        <w:bottom w:val="none" w:sz="0" w:space="0" w:color="auto"/>
        <w:right w:val="none" w:sz="0" w:space="0" w:color="auto"/>
      </w:divBdr>
    </w:div>
    <w:div w:id="1097553233">
      <w:bodyDiv w:val="1"/>
      <w:marLeft w:val="0"/>
      <w:marRight w:val="0"/>
      <w:marTop w:val="0"/>
      <w:marBottom w:val="0"/>
      <w:divBdr>
        <w:top w:val="none" w:sz="0" w:space="0" w:color="auto"/>
        <w:left w:val="none" w:sz="0" w:space="0" w:color="auto"/>
        <w:bottom w:val="none" w:sz="0" w:space="0" w:color="auto"/>
        <w:right w:val="none" w:sz="0" w:space="0" w:color="auto"/>
      </w:divBdr>
    </w:div>
    <w:div w:id="1101216670">
      <w:bodyDiv w:val="1"/>
      <w:marLeft w:val="0"/>
      <w:marRight w:val="0"/>
      <w:marTop w:val="0"/>
      <w:marBottom w:val="0"/>
      <w:divBdr>
        <w:top w:val="none" w:sz="0" w:space="0" w:color="auto"/>
        <w:left w:val="none" w:sz="0" w:space="0" w:color="auto"/>
        <w:bottom w:val="none" w:sz="0" w:space="0" w:color="auto"/>
        <w:right w:val="none" w:sz="0" w:space="0" w:color="auto"/>
      </w:divBdr>
    </w:div>
    <w:div w:id="1106657212">
      <w:bodyDiv w:val="1"/>
      <w:marLeft w:val="0"/>
      <w:marRight w:val="0"/>
      <w:marTop w:val="0"/>
      <w:marBottom w:val="0"/>
      <w:divBdr>
        <w:top w:val="none" w:sz="0" w:space="0" w:color="auto"/>
        <w:left w:val="none" w:sz="0" w:space="0" w:color="auto"/>
        <w:bottom w:val="none" w:sz="0" w:space="0" w:color="auto"/>
        <w:right w:val="none" w:sz="0" w:space="0" w:color="auto"/>
      </w:divBdr>
    </w:div>
    <w:div w:id="1116287945">
      <w:bodyDiv w:val="1"/>
      <w:marLeft w:val="0"/>
      <w:marRight w:val="0"/>
      <w:marTop w:val="0"/>
      <w:marBottom w:val="0"/>
      <w:divBdr>
        <w:top w:val="none" w:sz="0" w:space="0" w:color="auto"/>
        <w:left w:val="none" w:sz="0" w:space="0" w:color="auto"/>
        <w:bottom w:val="none" w:sz="0" w:space="0" w:color="auto"/>
        <w:right w:val="none" w:sz="0" w:space="0" w:color="auto"/>
      </w:divBdr>
    </w:div>
    <w:div w:id="1131173536">
      <w:bodyDiv w:val="1"/>
      <w:marLeft w:val="0"/>
      <w:marRight w:val="0"/>
      <w:marTop w:val="0"/>
      <w:marBottom w:val="0"/>
      <w:divBdr>
        <w:top w:val="none" w:sz="0" w:space="0" w:color="auto"/>
        <w:left w:val="none" w:sz="0" w:space="0" w:color="auto"/>
        <w:bottom w:val="none" w:sz="0" w:space="0" w:color="auto"/>
        <w:right w:val="none" w:sz="0" w:space="0" w:color="auto"/>
      </w:divBdr>
    </w:div>
    <w:div w:id="1138574343">
      <w:bodyDiv w:val="1"/>
      <w:marLeft w:val="0"/>
      <w:marRight w:val="0"/>
      <w:marTop w:val="0"/>
      <w:marBottom w:val="0"/>
      <w:divBdr>
        <w:top w:val="none" w:sz="0" w:space="0" w:color="auto"/>
        <w:left w:val="none" w:sz="0" w:space="0" w:color="auto"/>
        <w:bottom w:val="none" w:sz="0" w:space="0" w:color="auto"/>
        <w:right w:val="none" w:sz="0" w:space="0" w:color="auto"/>
      </w:divBdr>
    </w:div>
    <w:div w:id="1139032680">
      <w:bodyDiv w:val="1"/>
      <w:marLeft w:val="0"/>
      <w:marRight w:val="0"/>
      <w:marTop w:val="0"/>
      <w:marBottom w:val="0"/>
      <w:divBdr>
        <w:top w:val="none" w:sz="0" w:space="0" w:color="auto"/>
        <w:left w:val="none" w:sz="0" w:space="0" w:color="auto"/>
        <w:bottom w:val="none" w:sz="0" w:space="0" w:color="auto"/>
        <w:right w:val="none" w:sz="0" w:space="0" w:color="auto"/>
      </w:divBdr>
    </w:div>
    <w:div w:id="1147934245">
      <w:bodyDiv w:val="1"/>
      <w:marLeft w:val="0"/>
      <w:marRight w:val="0"/>
      <w:marTop w:val="0"/>
      <w:marBottom w:val="0"/>
      <w:divBdr>
        <w:top w:val="none" w:sz="0" w:space="0" w:color="auto"/>
        <w:left w:val="none" w:sz="0" w:space="0" w:color="auto"/>
        <w:bottom w:val="none" w:sz="0" w:space="0" w:color="auto"/>
        <w:right w:val="none" w:sz="0" w:space="0" w:color="auto"/>
      </w:divBdr>
    </w:div>
    <w:div w:id="1148207317">
      <w:bodyDiv w:val="1"/>
      <w:marLeft w:val="0"/>
      <w:marRight w:val="0"/>
      <w:marTop w:val="0"/>
      <w:marBottom w:val="0"/>
      <w:divBdr>
        <w:top w:val="none" w:sz="0" w:space="0" w:color="auto"/>
        <w:left w:val="none" w:sz="0" w:space="0" w:color="auto"/>
        <w:bottom w:val="none" w:sz="0" w:space="0" w:color="auto"/>
        <w:right w:val="none" w:sz="0" w:space="0" w:color="auto"/>
      </w:divBdr>
    </w:div>
    <w:div w:id="1148858998">
      <w:bodyDiv w:val="1"/>
      <w:marLeft w:val="0"/>
      <w:marRight w:val="0"/>
      <w:marTop w:val="0"/>
      <w:marBottom w:val="0"/>
      <w:divBdr>
        <w:top w:val="none" w:sz="0" w:space="0" w:color="auto"/>
        <w:left w:val="none" w:sz="0" w:space="0" w:color="auto"/>
        <w:bottom w:val="none" w:sz="0" w:space="0" w:color="auto"/>
        <w:right w:val="none" w:sz="0" w:space="0" w:color="auto"/>
      </w:divBdr>
    </w:div>
    <w:div w:id="1157192274">
      <w:bodyDiv w:val="1"/>
      <w:marLeft w:val="0"/>
      <w:marRight w:val="0"/>
      <w:marTop w:val="0"/>
      <w:marBottom w:val="0"/>
      <w:divBdr>
        <w:top w:val="none" w:sz="0" w:space="0" w:color="auto"/>
        <w:left w:val="none" w:sz="0" w:space="0" w:color="auto"/>
        <w:bottom w:val="none" w:sz="0" w:space="0" w:color="auto"/>
        <w:right w:val="none" w:sz="0" w:space="0" w:color="auto"/>
      </w:divBdr>
    </w:div>
    <w:div w:id="1157380336">
      <w:bodyDiv w:val="1"/>
      <w:marLeft w:val="0"/>
      <w:marRight w:val="0"/>
      <w:marTop w:val="0"/>
      <w:marBottom w:val="0"/>
      <w:divBdr>
        <w:top w:val="none" w:sz="0" w:space="0" w:color="auto"/>
        <w:left w:val="none" w:sz="0" w:space="0" w:color="auto"/>
        <w:bottom w:val="none" w:sz="0" w:space="0" w:color="auto"/>
        <w:right w:val="none" w:sz="0" w:space="0" w:color="auto"/>
      </w:divBdr>
    </w:div>
    <w:div w:id="1157572050">
      <w:bodyDiv w:val="1"/>
      <w:marLeft w:val="0"/>
      <w:marRight w:val="0"/>
      <w:marTop w:val="0"/>
      <w:marBottom w:val="0"/>
      <w:divBdr>
        <w:top w:val="none" w:sz="0" w:space="0" w:color="auto"/>
        <w:left w:val="none" w:sz="0" w:space="0" w:color="auto"/>
        <w:bottom w:val="none" w:sz="0" w:space="0" w:color="auto"/>
        <w:right w:val="none" w:sz="0" w:space="0" w:color="auto"/>
      </w:divBdr>
    </w:div>
    <w:div w:id="1157578596">
      <w:bodyDiv w:val="1"/>
      <w:marLeft w:val="0"/>
      <w:marRight w:val="0"/>
      <w:marTop w:val="0"/>
      <w:marBottom w:val="0"/>
      <w:divBdr>
        <w:top w:val="none" w:sz="0" w:space="0" w:color="auto"/>
        <w:left w:val="none" w:sz="0" w:space="0" w:color="auto"/>
        <w:bottom w:val="none" w:sz="0" w:space="0" w:color="auto"/>
        <w:right w:val="none" w:sz="0" w:space="0" w:color="auto"/>
      </w:divBdr>
    </w:div>
    <w:div w:id="1164318039">
      <w:bodyDiv w:val="1"/>
      <w:marLeft w:val="0"/>
      <w:marRight w:val="0"/>
      <w:marTop w:val="0"/>
      <w:marBottom w:val="0"/>
      <w:divBdr>
        <w:top w:val="none" w:sz="0" w:space="0" w:color="auto"/>
        <w:left w:val="none" w:sz="0" w:space="0" w:color="auto"/>
        <w:bottom w:val="none" w:sz="0" w:space="0" w:color="auto"/>
        <w:right w:val="none" w:sz="0" w:space="0" w:color="auto"/>
      </w:divBdr>
    </w:div>
    <w:div w:id="1166289694">
      <w:bodyDiv w:val="1"/>
      <w:marLeft w:val="0"/>
      <w:marRight w:val="0"/>
      <w:marTop w:val="0"/>
      <w:marBottom w:val="0"/>
      <w:divBdr>
        <w:top w:val="none" w:sz="0" w:space="0" w:color="auto"/>
        <w:left w:val="none" w:sz="0" w:space="0" w:color="auto"/>
        <w:bottom w:val="none" w:sz="0" w:space="0" w:color="auto"/>
        <w:right w:val="none" w:sz="0" w:space="0" w:color="auto"/>
      </w:divBdr>
    </w:div>
    <w:div w:id="1166752453">
      <w:bodyDiv w:val="1"/>
      <w:marLeft w:val="0"/>
      <w:marRight w:val="0"/>
      <w:marTop w:val="0"/>
      <w:marBottom w:val="0"/>
      <w:divBdr>
        <w:top w:val="none" w:sz="0" w:space="0" w:color="auto"/>
        <w:left w:val="none" w:sz="0" w:space="0" w:color="auto"/>
        <w:bottom w:val="none" w:sz="0" w:space="0" w:color="auto"/>
        <w:right w:val="none" w:sz="0" w:space="0" w:color="auto"/>
      </w:divBdr>
    </w:div>
    <w:div w:id="1171414105">
      <w:bodyDiv w:val="1"/>
      <w:marLeft w:val="0"/>
      <w:marRight w:val="0"/>
      <w:marTop w:val="0"/>
      <w:marBottom w:val="0"/>
      <w:divBdr>
        <w:top w:val="none" w:sz="0" w:space="0" w:color="auto"/>
        <w:left w:val="none" w:sz="0" w:space="0" w:color="auto"/>
        <w:bottom w:val="none" w:sz="0" w:space="0" w:color="auto"/>
        <w:right w:val="none" w:sz="0" w:space="0" w:color="auto"/>
      </w:divBdr>
    </w:div>
    <w:div w:id="1177580243">
      <w:bodyDiv w:val="1"/>
      <w:marLeft w:val="0"/>
      <w:marRight w:val="0"/>
      <w:marTop w:val="0"/>
      <w:marBottom w:val="0"/>
      <w:divBdr>
        <w:top w:val="none" w:sz="0" w:space="0" w:color="auto"/>
        <w:left w:val="none" w:sz="0" w:space="0" w:color="auto"/>
        <w:bottom w:val="none" w:sz="0" w:space="0" w:color="auto"/>
        <w:right w:val="none" w:sz="0" w:space="0" w:color="auto"/>
      </w:divBdr>
    </w:div>
    <w:div w:id="1181160514">
      <w:bodyDiv w:val="1"/>
      <w:marLeft w:val="0"/>
      <w:marRight w:val="0"/>
      <w:marTop w:val="0"/>
      <w:marBottom w:val="0"/>
      <w:divBdr>
        <w:top w:val="none" w:sz="0" w:space="0" w:color="auto"/>
        <w:left w:val="none" w:sz="0" w:space="0" w:color="auto"/>
        <w:bottom w:val="none" w:sz="0" w:space="0" w:color="auto"/>
        <w:right w:val="none" w:sz="0" w:space="0" w:color="auto"/>
      </w:divBdr>
    </w:div>
    <w:div w:id="1188982167">
      <w:bodyDiv w:val="1"/>
      <w:marLeft w:val="0"/>
      <w:marRight w:val="0"/>
      <w:marTop w:val="0"/>
      <w:marBottom w:val="0"/>
      <w:divBdr>
        <w:top w:val="none" w:sz="0" w:space="0" w:color="auto"/>
        <w:left w:val="none" w:sz="0" w:space="0" w:color="auto"/>
        <w:bottom w:val="none" w:sz="0" w:space="0" w:color="auto"/>
        <w:right w:val="none" w:sz="0" w:space="0" w:color="auto"/>
      </w:divBdr>
    </w:div>
    <w:div w:id="1189950549">
      <w:bodyDiv w:val="1"/>
      <w:marLeft w:val="0"/>
      <w:marRight w:val="0"/>
      <w:marTop w:val="0"/>
      <w:marBottom w:val="0"/>
      <w:divBdr>
        <w:top w:val="none" w:sz="0" w:space="0" w:color="auto"/>
        <w:left w:val="none" w:sz="0" w:space="0" w:color="auto"/>
        <w:bottom w:val="none" w:sz="0" w:space="0" w:color="auto"/>
        <w:right w:val="none" w:sz="0" w:space="0" w:color="auto"/>
      </w:divBdr>
    </w:div>
    <w:div w:id="1193952986">
      <w:bodyDiv w:val="1"/>
      <w:marLeft w:val="0"/>
      <w:marRight w:val="0"/>
      <w:marTop w:val="0"/>
      <w:marBottom w:val="0"/>
      <w:divBdr>
        <w:top w:val="none" w:sz="0" w:space="0" w:color="auto"/>
        <w:left w:val="none" w:sz="0" w:space="0" w:color="auto"/>
        <w:bottom w:val="none" w:sz="0" w:space="0" w:color="auto"/>
        <w:right w:val="none" w:sz="0" w:space="0" w:color="auto"/>
      </w:divBdr>
    </w:div>
    <w:div w:id="1196504189">
      <w:bodyDiv w:val="1"/>
      <w:marLeft w:val="0"/>
      <w:marRight w:val="0"/>
      <w:marTop w:val="0"/>
      <w:marBottom w:val="0"/>
      <w:divBdr>
        <w:top w:val="none" w:sz="0" w:space="0" w:color="auto"/>
        <w:left w:val="none" w:sz="0" w:space="0" w:color="auto"/>
        <w:bottom w:val="none" w:sz="0" w:space="0" w:color="auto"/>
        <w:right w:val="none" w:sz="0" w:space="0" w:color="auto"/>
      </w:divBdr>
    </w:div>
    <w:div w:id="1201363318">
      <w:bodyDiv w:val="1"/>
      <w:marLeft w:val="0"/>
      <w:marRight w:val="0"/>
      <w:marTop w:val="0"/>
      <w:marBottom w:val="0"/>
      <w:divBdr>
        <w:top w:val="none" w:sz="0" w:space="0" w:color="auto"/>
        <w:left w:val="none" w:sz="0" w:space="0" w:color="auto"/>
        <w:bottom w:val="none" w:sz="0" w:space="0" w:color="auto"/>
        <w:right w:val="none" w:sz="0" w:space="0" w:color="auto"/>
      </w:divBdr>
    </w:div>
    <w:div w:id="1207718220">
      <w:bodyDiv w:val="1"/>
      <w:marLeft w:val="0"/>
      <w:marRight w:val="0"/>
      <w:marTop w:val="0"/>
      <w:marBottom w:val="0"/>
      <w:divBdr>
        <w:top w:val="none" w:sz="0" w:space="0" w:color="auto"/>
        <w:left w:val="none" w:sz="0" w:space="0" w:color="auto"/>
        <w:bottom w:val="none" w:sz="0" w:space="0" w:color="auto"/>
        <w:right w:val="none" w:sz="0" w:space="0" w:color="auto"/>
      </w:divBdr>
    </w:div>
    <w:div w:id="1208881193">
      <w:bodyDiv w:val="1"/>
      <w:marLeft w:val="0"/>
      <w:marRight w:val="0"/>
      <w:marTop w:val="0"/>
      <w:marBottom w:val="0"/>
      <w:divBdr>
        <w:top w:val="none" w:sz="0" w:space="0" w:color="auto"/>
        <w:left w:val="none" w:sz="0" w:space="0" w:color="auto"/>
        <w:bottom w:val="none" w:sz="0" w:space="0" w:color="auto"/>
        <w:right w:val="none" w:sz="0" w:space="0" w:color="auto"/>
      </w:divBdr>
    </w:div>
    <w:div w:id="1218513195">
      <w:bodyDiv w:val="1"/>
      <w:marLeft w:val="0"/>
      <w:marRight w:val="0"/>
      <w:marTop w:val="0"/>
      <w:marBottom w:val="0"/>
      <w:divBdr>
        <w:top w:val="none" w:sz="0" w:space="0" w:color="auto"/>
        <w:left w:val="none" w:sz="0" w:space="0" w:color="auto"/>
        <w:bottom w:val="none" w:sz="0" w:space="0" w:color="auto"/>
        <w:right w:val="none" w:sz="0" w:space="0" w:color="auto"/>
      </w:divBdr>
    </w:div>
    <w:div w:id="1219707653">
      <w:bodyDiv w:val="1"/>
      <w:marLeft w:val="0"/>
      <w:marRight w:val="0"/>
      <w:marTop w:val="0"/>
      <w:marBottom w:val="0"/>
      <w:divBdr>
        <w:top w:val="none" w:sz="0" w:space="0" w:color="auto"/>
        <w:left w:val="none" w:sz="0" w:space="0" w:color="auto"/>
        <w:bottom w:val="none" w:sz="0" w:space="0" w:color="auto"/>
        <w:right w:val="none" w:sz="0" w:space="0" w:color="auto"/>
      </w:divBdr>
    </w:div>
    <w:div w:id="1219904426">
      <w:bodyDiv w:val="1"/>
      <w:marLeft w:val="0"/>
      <w:marRight w:val="0"/>
      <w:marTop w:val="0"/>
      <w:marBottom w:val="0"/>
      <w:divBdr>
        <w:top w:val="none" w:sz="0" w:space="0" w:color="auto"/>
        <w:left w:val="none" w:sz="0" w:space="0" w:color="auto"/>
        <w:bottom w:val="none" w:sz="0" w:space="0" w:color="auto"/>
        <w:right w:val="none" w:sz="0" w:space="0" w:color="auto"/>
      </w:divBdr>
    </w:div>
    <w:div w:id="1222672044">
      <w:bodyDiv w:val="1"/>
      <w:marLeft w:val="0"/>
      <w:marRight w:val="0"/>
      <w:marTop w:val="0"/>
      <w:marBottom w:val="0"/>
      <w:divBdr>
        <w:top w:val="none" w:sz="0" w:space="0" w:color="auto"/>
        <w:left w:val="none" w:sz="0" w:space="0" w:color="auto"/>
        <w:bottom w:val="none" w:sz="0" w:space="0" w:color="auto"/>
        <w:right w:val="none" w:sz="0" w:space="0" w:color="auto"/>
      </w:divBdr>
    </w:div>
    <w:div w:id="1223907726">
      <w:bodyDiv w:val="1"/>
      <w:marLeft w:val="0"/>
      <w:marRight w:val="0"/>
      <w:marTop w:val="0"/>
      <w:marBottom w:val="0"/>
      <w:divBdr>
        <w:top w:val="none" w:sz="0" w:space="0" w:color="auto"/>
        <w:left w:val="none" w:sz="0" w:space="0" w:color="auto"/>
        <w:bottom w:val="none" w:sz="0" w:space="0" w:color="auto"/>
        <w:right w:val="none" w:sz="0" w:space="0" w:color="auto"/>
      </w:divBdr>
    </w:div>
    <w:div w:id="1227839149">
      <w:bodyDiv w:val="1"/>
      <w:marLeft w:val="0"/>
      <w:marRight w:val="0"/>
      <w:marTop w:val="0"/>
      <w:marBottom w:val="0"/>
      <w:divBdr>
        <w:top w:val="none" w:sz="0" w:space="0" w:color="auto"/>
        <w:left w:val="none" w:sz="0" w:space="0" w:color="auto"/>
        <w:bottom w:val="none" w:sz="0" w:space="0" w:color="auto"/>
        <w:right w:val="none" w:sz="0" w:space="0" w:color="auto"/>
      </w:divBdr>
    </w:div>
    <w:div w:id="1232274916">
      <w:bodyDiv w:val="1"/>
      <w:marLeft w:val="0"/>
      <w:marRight w:val="0"/>
      <w:marTop w:val="0"/>
      <w:marBottom w:val="0"/>
      <w:divBdr>
        <w:top w:val="none" w:sz="0" w:space="0" w:color="auto"/>
        <w:left w:val="none" w:sz="0" w:space="0" w:color="auto"/>
        <w:bottom w:val="none" w:sz="0" w:space="0" w:color="auto"/>
        <w:right w:val="none" w:sz="0" w:space="0" w:color="auto"/>
      </w:divBdr>
    </w:div>
    <w:div w:id="1234966797">
      <w:bodyDiv w:val="1"/>
      <w:marLeft w:val="0"/>
      <w:marRight w:val="0"/>
      <w:marTop w:val="0"/>
      <w:marBottom w:val="0"/>
      <w:divBdr>
        <w:top w:val="none" w:sz="0" w:space="0" w:color="auto"/>
        <w:left w:val="none" w:sz="0" w:space="0" w:color="auto"/>
        <w:bottom w:val="none" w:sz="0" w:space="0" w:color="auto"/>
        <w:right w:val="none" w:sz="0" w:space="0" w:color="auto"/>
      </w:divBdr>
    </w:div>
    <w:div w:id="1237516534">
      <w:bodyDiv w:val="1"/>
      <w:marLeft w:val="0"/>
      <w:marRight w:val="0"/>
      <w:marTop w:val="0"/>
      <w:marBottom w:val="0"/>
      <w:divBdr>
        <w:top w:val="none" w:sz="0" w:space="0" w:color="auto"/>
        <w:left w:val="none" w:sz="0" w:space="0" w:color="auto"/>
        <w:bottom w:val="none" w:sz="0" w:space="0" w:color="auto"/>
        <w:right w:val="none" w:sz="0" w:space="0" w:color="auto"/>
      </w:divBdr>
    </w:div>
    <w:div w:id="1239634220">
      <w:bodyDiv w:val="1"/>
      <w:marLeft w:val="0"/>
      <w:marRight w:val="0"/>
      <w:marTop w:val="0"/>
      <w:marBottom w:val="0"/>
      <w:divBdr>
        <w:top w:val="none" w:sz="0" w:space="0" w:color="auto"/>
        <w:left w:val="none" w:sz="0" w:space="0" w:color="auto"/>
        <w:bottom w:val="none" w:sz="0" w:space="0" w:color="auto"/>
        <w:right w:val="none" w:sz="0" w:space="0" w:color="auto"/>
      </w:divBdr>
    </w:div>
    <w:div w:id="1241597939">
      <w:bodyDiv w:val="1"/>
      <w:marLeft w:val="0"/>
      <w:marRight w:val="0"/>
      <w:marTop w:val="0"/>
      <w:marBottom w:val="0"/>
      <w:divBdr>
        <w:top w:val="none" w:sz="0" w:space="0" w:color="auto"/>
        <w:left w:val="none" w:sz="0" w:space="0" w:color="auto"/>
        <w:bottom w:val="none" w:sz="0" w:space="0" w:color="auto"/>
        <w:right w:val="none" w:sz="0" w:space="0" w:color="auto"/>
      </w:divBdr>
    </w:div>
    <w:div w:id="1243639465">
      <w:bodyDiv w:val="1"/>
      <w:marLeft w:val="0"/>
      <w:marRight w:val="0"/>
      <w:marTop w:val="0"/>
      <w:marBottom w:val="0"/>
      <w:divBdr>
        <w:top w:val="none" w:sz="0" w:space="0" w:color="auto"/>
        <w:left w:val="none" w:sz="0" w:space="0" w:color="auto"/>
        <w:bottom w:val="none" w:sz="0" w:space="0" w:color="auto"/>
        <w:right w:val="none" w:sz="0" w:space="0" w:color="auto"/>
      </w:divBdr>
    </w:div>
    <w:div w:id="1246299424">
      <w:bodyDiv w:val="1"/>
      <w:marLeft w:val="0"/>
      <w:marRight w:val="0"/>
      <w:marTop w:val="0"/>
      <w:marBottom w:val="0"/>
      <w:divBdr>
        <w:top w:val="none" w:sz="0" w:space="0" w:color="auto"/>
        <w:left w:val="none" w:sz="0" w:space="0" w:color="auto"/>
        <w:bottom w:val="none" w:sz="0" w:space="0" w:color="auto"/>
        <w:right w:val="none" w:sz="0" w:space="0" w:color="auto"/>
      </w:divBdr>
    </w:div>
    <w:div w:id="1246770552">
      <w:bodyDiv w:val="1"/>
      <w:marLeft w:val="0"/>
      <w:marRight w:val="0"/>
      <w:marTop w:val="0"/>
      <w:marBottom w:val="0"/>
      <w:divBdr>
        <w:top w:val="none" w:sz="0" w:space="0" w:color="auto"/>
        <w:left w:val="none" w:sz="0" w:space="0" w:color="auto"/>
        <w:bottom w:val="none" w:sz="0" w:space="0" w:color="auto"/>
        <w:right w:val="none" w:sz="0" w:space="0" w:color="auto"/>
      </w:divBdr>
    </w:div>
    <w:div w:id="1255557476">
      <w:bodyDiv w:val="1"/>
      <w:marLeft w:val="0"/>
      <w:marRight w:val="0"/>
      <w:marTop w:val="0"/>
      <w:marBottom w:val="0"/>
      <w:divBdr>
        <w:top w:val="none" w:sz="0" w:space="0" w:color="auto"/>
        <w:left w:val="none" w:sz="0" w:space="0" w:color="auto"/>
        <w:bottom w:val="none" w:sz="0" w:space="0" w:color="auto"/>
        <w:right w:val="none" w:sz="0" w:space="0" w:color="auto"/>
      </w:divBdr>
    </w:div>
    <w:div w:id="1256554226">
      <w:bodyDiv w:val="1"/>
      <w:marLeft w:val="0"/>
      <w:marRight w:val="0"/>
      <w:marTop w:val="0"/>
      <w:marBottom w:val="0"/>
      <w:divBdr>
        <w:top w:val="none" w:sz="0" w:space="0" w:color="auto"/>
        <w:left w:val="none" w:sz="0" w:space="0" w:color="auto"/>
        <w:bottom w:val="none" w:sz="0" w:space="0" w:color="auto"/>
        <w:right w:val="none" w:sz="0" w:space="0" w:color="auto"/>
      </w:divBdr>
    </w:div>
    <w:div w:id="1260525646">
      <w:bodyDiv w:val="1"/>
      <w:marLeft w:val="0"/>
      <w:marRight w:val="0"/>
      <w:marTop w:val="0"/>
      <w:marBottom w:val="0"/>
      <w:divBdr>
        <w:top w:val="none" w:sz="0" w:space="0" w:color="auto"/>
        <w:left w:val="none" w:sz="0" w:space="0" w:color="auto"/>
        <w:bottom w:val="none" w:sz="0" w:space="0" w:color="auto"/>
        <w:right w:val="none" w:sz="0" w:space="0" w:color="auto"/>
      </w:divBdr>
    </w:div>
    <w:div w:id="1260721487">
      <w:bodyDiv w:val="1"/>
      <w:marLeft w:val="0"/>
      <w:marRight w:val="0"/>
      <w:marTop w:val="0"/>
      <w:marBottom w:val="0"/>
      <w:divBdr>
        <w:top w:val="none" w:sz="0" w:space="0" w:color="auto"/>
        <w:left w:val="none" w:sz="0" w:space="0" w:color="auto"/>
        <w:bottom w:val="none" w:sz="0" w:space="0" w:color="auto"/>
        <w:right w:val="none" w:sz="0" w:space="0" w:color="auto"/>
      </w:divBdr>
    </w:div>
    <w:div w:id="1266378834">
      <w:bodyDiv w:val="1"/>
      <w:marLeft w:val="0"/>
      <w:marRight w:val="0"/>
      <w:marTop w:val="0"/>
      <w:marBottom w:val="0"/>
      <w:divBdr>
        <w:top w:val="none" w:sz="0" w:space="0" w:color="auto"/>
        <w:left w:val="none" w:sz="0" w:space="0" w:color="auto"/>
        <w:bottom w:val="none" w:sz="0" w:space="0" w:color="auto"/>
        <w:right w:val="none" w:sz="0" w:space="0" w:color="auto"/>
      </w:divBdr>
    </w:div>
    <w:div w:id="1274481318">
      <w:bodyDiv w:val="1"/>
      <w:marLeft w:val="0"/>
      <w:marRight w:val="0"/>
      <w:marTop w:val="0"/>
      <w:marBottom w:val="0"/>
      <w:divBdr>
        <w:top w:val="none" w:sz="0" w:space="0" w:color="auto"/>
        <w:left w:val="none" w:sz="0" w:space="0" w:color="auto"/>
        <w:bottom w:val="none" w:sz="0" w:space="0" w:color="auto"/>
        <w:right w:val="none" w:sz="0" w:space="0" w:color="auto"/>
      </w:divBdr>
    </w:div>
    <w:div w:id="1276786865">
      <w:bodyDiv w:val="1"/>
      <w:marLeft w:val="0"/>
      <w:marRight w:val="0"/>
      <w:marTop w:val="0"/>
      <w:marBottom w:val="0"/>
      <w:divBdr>
        <w:top w:val="none" w:sz="0" w:space="0" w:color="auto"/>
        <w:left w:val="none" w:sz="0" w:space="0" w:color="auto"/>
        <w:bottom w:val="none" w:sz="0" w:space="0" w:color="auto"/>
        <w:right w:val="none" w:sz="0" w:space="0" w:color="auto"/>
      </w:divBdr>
    </w:div>
    <w:div w:id="1276794941">
      <w:bodyDiv w:val="1"/>
      <w:marLeft w:val="0"/>
      <w:marRight w:val="0"/>
      <w:marTop w:val="0"/>
      <w:marBottom w:val="0"/>
      <w:divBdr>
        <w:top w:val="none" w:sz="0" w:space="0" w:color="auto"/>
        <w:left w:val="none" w:sz="0" w:space="0" w:color="auto"/>
        <w:bottom w:val="none" w:sz="0" w:space="0" w:color="auto"/>
        <w:right w:val="none" w:sz="0" w:space="0" w:color="auto"/>
      </w:divBdr>
    </w:div>
    <w:div w:id="1281062866">
      <w:bodyDiv w:val="1"/>
      <w:marLeft w:val="0"/>
      <w:marRight w:val="0"/>
      <w:marTop w:val="0"/>
      <w:marBottom w:val="0"/>
      <w:divBdr>
        <w:top w:val="none" w:sz="0" w:space="0" w:color="auto"/>
        <w:left w:val="none" w:sz="0" w:space="0" w:color="auto"/>
        <w:bottom w:val="none" w:sz="0" w:space="0" w:color="auto"/>
        <w:right w:val="none" w:sz="0" w:space="0" w:color="auto"/>
      </w:divBdr>
    </w:div>
    <w:div w:id="1281110560">
      <w:bodyDiv w:val="1"/>
      <w:marLeft w:val="0"/>
      <w:marRight w:val="0"/>
      <w:marTop w:val="0"/>
      <w:marBottom w:val="0"/>
      <w:divBdr>
        <w:top w:val="none" w:sz="0" w:space="0" w:color="auto"/>
        <w:left w:val="none" w:sz="0" w:space="0" w:color="auto"/>
        <w:bottom w:val="none" w:sz="0" w:space="0" w:color="auto"/>
        <w:right w:val="none" w:sz="0" w:space="0" w:color="auto"/>
      </w:divBdr>
    </w:div>
    <w:div w:id="1284850009">
      <w:bodyDiv w:val="1"/>
      <w:marLeft w:val="0"/>
      <w:marRight w:val="0"/>
      <w:marTop w:val="0"/>
      <w:marBottom w:val="0"/>
      <w:divBdr>
        <w:top w:val="none" w:sz="0" w:space="0" w:color="auto"/>
        <w:left w:val="none" w:sz="0" w:space="0" w:color="auto"/>
        <w:bottom w:val="none" w:sz="0" w:space="0" w:color="auto"/>
        <w:right w:val="none" w:sz="0" w:space="0" w:color="auto"/>
      </w:divBdr>
    </w:div>
    <w:div w:id="1285431441">
      <w:bodyDiv w:val="1"/>
      <w:marLeft w:val="0"/>
      <w:marRight w:val="0"/>
      <w:marTop w:val="0"/>
      <w:marBottom w:val="0"/>
      <w:divBdr>
        <w:top w:val="none" w:sz="0" w:space="0" w:color="auto"/>
        <w:left w:val="none" w:sz="0" w:space="0" w:color="auto"/>
        <w:bottom w:val="none" w:sz="0" w:space="0" w:color="auto"/>
        <w:right w:val="none" w:sz="0" w:space="0" w:color="auto"/>
      </w:divBdr>
    </w:div>
    <w:div w:id="1285889261">
      <w:bodyDiv w:val="1"/>
      <w:marLeft w:val="0"/>
      <w:marRight w:val="0"/>
      <w:marTop w:val="0"/>
      <w:marBottom w:val="0"/>
      <w:divBdr>
        <w:top w:val="none" w:sz="0" w:space="0" w:color="auto"/>
        <w:left w:val="none" w:sz="0" w:space="0" w:color="auto"/>
        <w:bottom w:val="none" w:sz="0" w:space="0" w:color="auto"/>
        <w:right w:val="none" w:sz="0" w:space="0" w:color="auto"/>
      </w:divBdr>
    </w:div>
    <w:div w:id="1286739728">
      <w:bodyDiv w:val="1"/>
      <w:marLeft w:val="0"/>
      <w:marRight w:val="0"/>
      <w:marTop w:val="0"/>
      <w:marBottom w:val="0"/>
      <w:divBdr>
        <w:top w:val="none" w:sz="0" w:space="0" w:color="auto"/>
        <w:left w:val="none" w:sz="0" w:space="0" w:color="auto"/>
        <w:bottom w:val="none" w:sz="0" w:space="0" w:color="auto"/>
        <w:right w:val="none" w:sz="0" w:space="0" w:color="auto"/>
      </w:divBdr>
    </w:div>
    <w:div w:id="1287421720">
      <w:bodyDiv w:val="1"/>
      <w:marLeft w:val="0"/>
      <w:marRight w:val="0"/>
      <w:marTop w:val="0"/>
      <w:marBottom w:val="0"/>
      <w:divBdr>
        <w:top w:val="none" w:sz="0" w:space="0" w:color="auto"/>
        <w:left w:val="none" w:sz="0" w:space="0" w:color="auto"/>
        <w:bottom w:val="none" w:sz="0" w:space="0" w:color="auto"/>
        <w:right w:val="none" w:sz="0" w:space="0" w:color="auto"/>
      </w:divBdr>
    </w:div>
    <w:div w:id="1293484057">
      <w:bodyDiv w:val="1"/>
      <w:marLeft w:val="0"/>
      <w:marRight w:val="0"/>
      <w:marTop w:val="0"/>
      <w:marBottom w:val="0"/>
      <w:divBdr>
        <w:top w:val="none" w:sz="0" w:space="0" w:color="auto"/>
        <w:left w:val="none" w:sz="0" w:space="0" w:color="auto"/>
        <w:bottom w:val="none" w:sz="0" w:space="0" w:color="auto"/>
        <w:right w:val="none" w:sz="0" w:space="0" w:color="auto"/>
      </w:divBdr>
    </w:div>
    <w:div w:id="1295407231">
      <w:bodyDiv w:val="1"/>
      <w:marLeft w:val="0"/>
      <w:marRight w:val="0"/>
      <w:marTop w:val="0"/>
      <w:marBottom w:val="0"/>
      <w:divBdr>
        <w:top w:val="none" w:sz="0" w:space="0" w:color="auto"/>
        <w:left w:val="none" w:sz="0" w:space="0" w:color="auto"/>
        <w:bottom w:val="none" w:sz="0" w:space="0" w:color="auto"/>
        <w:right w:val="none" w:sz="0" w:space="0" w:color="auto"/>
      </w:divBdr>
    </w:div>
    <w:div w:id="1296065153">
      <w:bodyDiv w:val="1"/>
      <w:marLeft w:val="0"/>
      <w:marRight w:val="0"/>
      <w:marTop w:val="0"/>
      <w:marBottom w:val="0"/>
      <w:divBdr>
        <w:top w:val="none" w:sz="0" w:space="0" w:color="auto"/>
        <w:left w:val="none" w:sz="0" w:space="0" w:color="auto"/>
        <w:bottom w:val="none" w:sz="0" w:space="0" w:color="auto"/>
        <w:right w:val="none" w:sz="0" w:space="0" w:color="auto"/>
      </w:divBdr>
    </w:div>
    <w:div w:id="1297678825">
      <w:bodyDiv w:val="1"/>
      <w:marLeft w:val="0"/>
      <w:marRight w:val="0"/>
      <w:marTop w:val="0"/>
      <w:marBottom w:val="0"/>
      <w:divBdr>
        <w:top w:val="none" w:sz="0" w:space="0" w:color="auto"/>
        <w:left w:val="none" w:sz="0" w:space="0" w:color="auto"/>
        <w:bottom w:val="none" w:sz="0" w:space="0" w:color="auto"/>
        <w:right w:val="none" w:sz="0" w:space="0" w:color="auto"/>
      </w:divBdr>
    </w:div>
    <w:div w:id="1302886367">
      <w:bodyDiv w:val="1"/>
      <w:marLeft w:val="0"/>
      <w:marRight w:val="0"/>
      <w:marTop w:val="0"/>
      <w:marBottom w:val="0"/>
      <w:divBdr>
        <w:top w:val="none" w:sz="0" w:space="0" w:color="auto"/>
        <w:left w:val="none" w:sz="0" w:space="0" w:color="auto"/>
        <w:bottom w:val="none" w:sz="0" w:space="0" w:color="auto"/>
        <w:right w:val="none" w:sz="0" w:space="0" w:color="auto"/>
      </w:divBdr>
    </w:div>
    <w:div w:id="1309048693">
      <w:bodyDiv w:val="1"/>
      <w:marLeft w:val="0"/>
      <w:marRight w:val="0"/>
      <w:marTop w:val="0"/>
      <w:marBottom w:val="0"/>
      <w:divBdr>
        <w:top w:val="none" w:sz="0" w:space="0" w:color="auto"/>
        <w:left w:val="none" w:sz="0" w:space="0" w:color="auto"/>
        <w:bottom w:val="none" w:sz="0" w:space="0" w:color="auto"/>
        <w:right w:val="none" w:sz="0" w:space="0" w:color="auto"/>
      </w:divBdr>
    </w:div>
    <w:div w:id="1311717668">
      <w:bodyDiv w:val="1"/>
      <w:marLeft w:val="0"/>
      <w:marRight w:val="0"/>
      <w:marTop w:val="0"/>
      <w:marBottom w:val="0"/>
      <w:divBdr>
        <w:top w:val="none" w:sz="0" w:space="0" w:color="auto"/>
        <w:left w:val="none" w:sz="0" w:space="0" w:color="auto"/>
        <w:bottom w:val="none" w:sz="0" w:space="0" w:color="auto"/>
        <w:right w:val="none" w:sz="0" w:space="0" w:color="auto"/>
      </w:divBdr>
    </w:div>
    <w:div w:id="1315647974">
      <w:bodyDiv w:val="1"/>
      <w:marLeft w:val="0"/>
      <w:marRight w:val="0"/>
      <w:marTop w:val="0"/>
      <w:marBottom w:val="0"/>
      <w:divBdr>
        <w:top w:val="none" w:sz="0" w:space="0" w:color="auto"/>
        <w:left w:val="none" w:sz="0" w:space="0" w:color="auto"/>
        <w:bottom w:val="none" w:sz="0" w:space="0" w:color="auto"/>
        <w:right w:val="none" w:sz="0" w:space="0" w:color="auto"/>
      </w:divBdr>
    </w:div>
    <w:div w:id="1324117173">
      <w:bodyDiv w:val="1"/>
      <w:marLeft w:val="0"/>
      <w:marRight w:val="0"/>
      <w:marTop w:val="0"/>
      <w:marBottom w:val="0"/>
      <w:divBdr>
        <w:top w:val="none" w:sz="0" w:space="0" w:color="auto"/>
        <w:left w:val="none" w:sz="0" w:space="0" w:color="auto"/>
        <w:bottom w:val="none" w:sz="0" w:space="0" w:color="auto"/>
        <w:right w:val="none" w:sz="0" w:space="0" w:color="auto"/>
      </w:divBdr>
    </w:div>
    <w:div w:id="1326934216">
      <w:bodyDiv w:val="1"/>
      <w:marLeft w:val="0"/>
      <w:marRight w:val="0"/>
      <w:marTop w:val="0"/>
      <w:marBottom w:val="0"/>
      <w:divBdr>
        <w:top w:val="none" w:sz="0" w:space="0" w:color="auto"/>
        <w:left w:val="none" w:sz="0" w:space="0" w:color="auto"/>
        <w:bottom w:val="none" w:sz="0" w:space="0" w:color="auto"/>
        <w:right w:val="none" w:sz="0" w:space="0" w:color="auto"/>
      </w:divBdr>
    </w:div>
    <w:div w:id="1333289796">
      <w:bodyDiv w:val="1"/>
      <w:marLeft w:val="0"/>
      <w:marRight w:val="0"/>
      <w:marTop w:val="0"/>
      <w:marBottom w:val="0"/>
      <w:divBdr>
        <w:top w:val="none" w:sz="0" w:space="0" w:color="auto"/>
        <w:left w:val="none" w:sz="0" w:space="0" w:color="auto"/>
        <w:bottom w:val="none" w:sz="0" w:space="0" w:color="auto"/>
        <w:right w:val="none" w:sz="0" w:space="0" w:color="auto"/>
      </w:divBdr>
    </w:div>
    <w:div w:id="1336613103">
      <w:bodyDiv w:val="1"/>
      <w:marLeft w:val="0"/>
      <w:marRight w:val="0"/>
      <w:marTop w:val="0"/>
      <w:marBottom w:val="0"/>
      <w:divBdr>
        <w:top w:val="none" w:sz="0" w:space="0" w:color="auto"/>
        <w:left w:val="none" w:sz="0" w:space="0" w:color="auto"/>
        <w:bottom w:val="none" w:sz="0" w:space="0" w:color="auto"/>
        <w:right w:val="none" w:sz="0" w:space="0" w:color="auto"/>
      </w:divBdr>
    </w:div>
    <w:div w:id="1337344663">
      <w:bodyDiv w:val="1"/>
      <w:marLeft w:val="0"/>
      <w:marRight w:val="0"/>
      <w:marTop w:val="0"/>
      <w:marBottom w:val="0"/>
      <w:divBdr>
        <w:top w:val="none" w:sz="0" w:space="0" w:color="auto"/>
        <w:left w:val="none" w:sz="0" w:space="0" w:color="auto"/>
        <w:bottom w:val="none" w:sz="0" w:space="0" w:color="auto"/>
        <w:right w:val="none" w:sz="0" w:space="0" w:color="auto"/>
      </w:divBdr>
    </w:div>
    <w:div w:id="1340767090">
      <w:bodyDiv w:val="1"/>
      <w:marLeft w:val="0"/>
      <w:marRight w:val="0"/>
      <w:marTop w:val="0"/>
      <w:marBottom w:val="0"/>
      <w:divBdr>
        <w:top w:val="none" w:sz="0" w:space="0" w:color="auto"/>
        <w:left w:val="none" w:sz="0" w:space="0" w:color="auto"/>
        <w:bottom w:val="none" w:sz="0" w:space="0" w:color="auto"/>
        <w:right w:val="none" w:sz="0" w:space="0" w:color="auto"/>
      </w:divBdr>
    </w:div>
    <w:div w:id="1345858908">
      <w:bodyDiv w:val="1"/>
      <w:marLeft w:val="0"/>
      <w:marRight w:val="0"/>
      <w:marTop w:val="0"/>
      <w:marBottom w:val="0"/>
      <w:divBdr>
        <w:top w:val="none" w:sz="0" w:space="0" w:color="auto"/>
        <w:left w:val="none" w:sz="0" w:space="0" w:color="auto"/>
        <w:bottom w:val="none" w:sz="0" w:space="0" w:color="auto"/>
        <w:right w:val="none" w:sz="0" w:space="0" w:color="auto"/>
      </w:divBdr>
    </w:div>
    <w:div w:id="1345983649">
      <w:bodyDiv w:val="1"/>
      <w:marLeft w:val="0"/>
      <w:marRight w:val="0"/>
      <w:marTop w:val="0"/>
      <w:marBottom w:val="0"/>
      <w:divBdr>
        <w:top w:val="none" w:sz="0" w:space="0" w:color="auto"/>
        <w:left w:val="none" w:sz="0" w:space="0" w:color="auto"/>
        <w:bottom w:val="none" w:sz="0" w:space="0" w:color="auto"/>
        <w:right w:val="none" w:sz="0" w:space="0" w:color="auto"/>
      </w:divBdr>
    </w:div>
    <w:div w:id="1346596679">
      <w:bodyDiv w:val="1"/>
      <w:marLeft w:val="0"/>
      <w:marRight w:val="0"/>
      <w:marTop w:val="0"/>
      <w:marBottom w:val="0"/>
      <w:divBdr>
        <w:top w:val="none" w:sz="0" w:space="0" w:color="auto"/>
        <w:left w:val="none" w:sz="0" w:space="0" w:color="auto"/>
        <w:bottom w:val="none" w:sz="0" w:space="0" w:color="auto"/>
        <w:right w:val="none" w:sz="0" w:space="0" w:color="auto"/>
      </w:divBdr>
    </w:div>
    <w:div w:id="1348365964">
      <w:bodyDiv w:val="1"/>
      <w:marLeft w:val="0"/>
      <w:marRight w:val="0"/>
      <w:marTop w:val="0"/>
      <w:marBottom w:val="0"/>
      <w:divBdr>
        <w:top w:val="none" w:sz="0" w:space="0" w:color="auto"/>
        <w:left w:val="none" w:sz="0" w:space="0" w:color="auto"/>
        <w:bottom w:val="none" w:sz="0" w:space="0" w:color="auto"/>
        <w:right w:val="none" w:sz="0" w:space="0" w:color="auto"/>
      </w:divBdr>
    </w:div>
    <w:div w:id="1350375630">
      <w:bodyDiv w:val="1"/>
      <w:marLeft w:val="0"/>
      <w:marRight w:val="0"/>
      <w:marTop w:val="0"/>
      <w:marBottom w:val="0"/>
      <w:divBdr>
        <w:top w:val="none" w:sz="0" w:space="0" w:color="auto"/>
        <w:left w:val="none" w:sz="0" w:space="0" w:color="auto"/>
        <w:bottom w:val="none" w:sz="0" w:space="0" w:color="auto"/>
        <w:right w:val="none" w:sz="0" w:space="0" w:color="auto"/>
      </w:divBdr>
    </w:div>
    <w:div w:id="1351032050">
      <w:bodyDiv w:val="1"/>
      <w:marLeft w:val="0"/>
      <w:marRight w:val="0"/>
      <w:marTop w:val="0"/>
      <w:marBottom w:val="0"/>
      <w:divBdr>
        <w:top w:val="none" w:sz="0" w:space="0" w:color="auto"/>
        <w:left w:val="none" w:sz="0" w:space="0" w:color="auto"/>
        <w:bottom w:val="none" w:sz="0" w:space="0" w:color="auto"/>
        <w:right w:val="none" w:sz="0" w:space="0" w:color="auto"/>
      </w:divBdr>
    </w:div>
    <w:div w:id="1355690603">
      <w:bodyDiv w:val="1"/>
      <w:marLeft w:val="0"/>
      <w:marRight w:val="0"/>
      <w:marTop w:val="0"/>
      <w:marBottom w:val="0"/>
      <w:divBdr>
        <w:top w:val="none" w:sz="0" w:space="0" w:color="auto"/>
        <w:left w:val="none" w:sz="0" w:space="0" w:color="auto"/>
        <w:bottom w:val="none" w:sz="0" w:space="0" w:color="auto"/>
        <w:right w:val="none" w:sz="0" w:space="0" w:color="auto"/>
      </w:divBdr>
    </w:div>
    <w:div w:id="1360200600">
      <w:bodyDiv w:val="1"/>
      <w:marLeft w:val="0"/>
      <w:marRight w:val="0"/>
      <w:marTop w:val="0"/>
      <w:marBottom w:val="0"/>
      <w:divBdr>
        <w:top w:val="none" w:sz="0" w:space="0" w:color="auto"/>
        <w:left w:val="none" w:sz="0" w:space="0" w:color="auto"/>
        <w:bottom w:val="none" w:sz="0" w:space="0" w:color="auto"/>
        <w:right w:val="none" w:sz="0" w:space="0" w:color="auto"/>
      </w:divBdr>
    </w:div>
    <w:div w:id="1361273513">
      <w:bodyDiv w:val="1"/>
      <w:marLeft w:val="0"/>
      <w:marRight w:val="0"/>
      <w:marTop w:val="0"/>
      <w:marBottom w:val="0"/>
      <w:divBdr>
        <w:top w:val="none" w:sz="0" w:space="0" w:color="auto"/>
        <w:left w:val="none" w:sz="0" w:space="0" w:color="auto"/>
        <w:bottom w:val="none" w:sz="0" w:space="0" w:color="auto"/>
        <w:right w:val="none" w:sz="0" w:space="0" w:color="auto"/>
      </w:divBdr>
    </w:div>
    <w:div w:id="1368067604">
      <w:bodyDiv w:val="1"/>
      <w:marLeft w:val="0"/>
      <w:marRight w:val="0"/>
      <w:marTop w:val="0"/>
      <w:marBottom w:val="0"/>
      <w:divBdr>
        <w:top w:val="none" w:sz="0" w:space="0" w:color="auto"/>
        <w:left w:val="none" w:sz="0" w:space="0" w:color="auto"/>
        <w:bottom w:val="none" w:sz="0" w:space="0" w:color="auto"/>
        <w:right w:val="none" w:sz="0" w:space="0" w:color="auto"/>
      </w:divBdr>
    </w:div>
    <w:div w:id="1368676000">
      <w:bodyDiv w:val="1"/>
      <w:marLeft w:val="0"/>
      <w:marRight w:val="0"/>
      <w:marTop w:val="0"/>
      <w:marBottom w:val="0"/>
      <w:divBdr>
        <w:top w:val="none" w:sz="0" w:space="0" w:color="auto"/>
        <w:left w:val="none" w:sz="0" w:space="0" w:color="auto"/>
        <w:bottom w:val="none" w:sz="0" w:space="0" w:color="auto"/>
        <w:right w:val="none" w:sz="0" w:space="0" w:color="auto"/>
      </w:divBdr>
    </w:div>
    <w:div w:id="1376348855">
      <w:bodyDiv w:val="1"/>
      <w:marLeft w:val="0"/>
      <w:marRight w:val="0"/>
      <w:marTop w:val="0"/>
      <w:marBottom w:val="0"/>
      <w:divBdr>
        <w:top w:val="none" w:sz="0" w:space="0" w:color="auto"/>
        <w:left w:val="none" w:sz="0" w:space="0" w:color="auto"/>
        <w:bottom w:val="none" w:sz="0" w:space="0" w:color="auto"/>
        <w:right w:val="none" w:sz="0" w:space="0" w:color="auto"/>
      </w:divBdr>
    </w:div>
    <w:div w:id="1390151110">
      <w:bodyDiv w:val="1"/>
      <w:marLeft w:val="0"/>
      <w:marRight w:val="0"/>
      <w:marTop w:val="0"/>
      <w:marBottom w:val="0"/>
      <w:divBdr>
        <w:top w:val="none" w:sz="0" w:space="0" w:color="auto"/>
        <w:left w:val="none" w:sz="0" w:space="0" w:color="auto"/>
        <w:bottom w:val="none" w:sz="0" w:space="0" w:color="auto"/>
        <w:right w:val="none" w:sz="0" w:space="0" w:color="auto"/>
      </w:divBdr>
    </w:div>
    <w:div w:id="1397898757">
      <w:bodyDiv w:val="1"/>
      <w:marLeft w:val="0"/>
      <w:marRight w:val="0"/>
      <w:marTop w:val="0"/>
      <w:marBottom w:val="0"/>
      <w:divBdr>
        <w:top w:val="none" w:sz="0" w:space="0" w:color="auto"/>
        <w:left w:val="none" w:sz="0" w:space="0" w:color="auto"/>
        <w:bottom w:val="none" w:sz="0" w:space="0" w:color="auto"/>
        <w:right w:val="none" w:sz="0" w:space="0" w:color="auto"/>
      </w:divBdr>
    </w:div>
    <w:div w:id="1400055544">
      <w:bodyDiv w:val="1"/>
      <w:marLeft w:val="0"/>
      <w:marRight w:val="0"/>
      <w:marTop w:val="0"/>
      <w:marBottom w:val="0"/>
      <w:divBdr>
        <w:top w:val="none" w:sz="0" w:space="0" w:color="auto"/>
        <w:left w:val="none" w:sz="0" w:space="0" w:color="auto"/>
        <w:bottom w:val="none" w:sz="0" w:space="0" w:color="auto"/>
        <w:right w:val="none" w:sz="0" w:space="0" w:color="auto"/>
      </w:divBdr>
    </w:div>
    <w:div w:id="1406143405">
      <w:bodyDiv w:val="1"/>
      <w:marLeft w:val="0"/>
      <w:marRight w:val="0"/>
      <w:marTop w:val="0"/>
      <w:marBottom w:val="0"/>
      <w:divBdr>
        <w:top w:val="none" w:sz="0" w:space="0" w:color="auto"/>
        <w:left w:val="none" w:sz="0" w:space="0" w:color="auto"/>
        <w:bottom w:val="none" w:sz="0" w:space="0" w:color="auto"/>
        <w:right w:val="none" w:sz="0" w:space="0" w:color="auto"/>
      </w:divBdr>
    </w:div>
    <w:div w:id="1407608742">
      <w:bodyDiv w:val="1"/>
      <w:marLeft w:val="0"/>
      <w:marRight w:val="0"/>
      <w:marTop w:val="0"/>
      <w:marBottom w:val="0"/>
      <w:divBdr>
        <w:top w:val="none" w:sz="0" w:space="0" w:color="auto"/>
        <w:left w:val="none" w:sz="0" w:space="0" w:color="auto"/>
        <w:bottom w:val="none" w:sz="0" w:space="0" w:color="auto"/>
        <w:right w:val="none" w:sz="0" w:space="0" w:color="auto"/>
      </w:divBdr>
    </w:div>
    <w:div w:id="1410498129">
      <w:bodyDiv w:val="1"/>
      <w:marLeft w:val="0"/>
      <w:marRight w:val="0"/>
      <w:marTop w:val="0"/>
      <w:marBottom w:val="0"/>
      <w:divBdr>
        <w:top w:val="none" w:sz="0" w:space="0" w:color="auto"/>
        <w:left w:val="none" w:sz="0" w:space="0" w:color="auto"/>
        <w:bottom w:val="none" w:sz="0" w:space="0" w:color="auto"/>
        <w:right w:val="none" w:sz="0" w:space="0" w:color="auto"/>
      </w:divBdr>
    </w:div>
    <w:div w:id="1412195664">
      <w:bodyDiv w:val="1"/>
      <w:marLeft w:val="0"/>
      <w:marRight w:val="0"/>
      <w:marTop w:val="0"/>
      <w:marBottom w:val="0"/>
      <w:divBdr>
        <w:top w:val="none" w:sz="0" w:space="0" w:color="auto"/>
        <w:left w:val="none" w:sz="0" w:space="0" w:color="auto"/>
        <w:bottom w:val="none" w:sz="0" w:space="0" w:color="auto"/>
        <w:right w:val="none" w:sz="0" w:space="0" w:color="auto"/>
      </w:divBdr>
    </w:div>
    <w:div w:id="1414738762">
      <w:bodyDiv w:val="1"/>
      <w:marLeft w:val="0"/>
      <w:marRight w:val="0"/>
      <w:marTop w:val="0"/>
      <w:marBottom w:val="0"/>
      <w:divBdr>
        <w:top w:val="none" w:sz="0" w:space="0" w:color="auto"/>
        <w:left w:val="none" w:sz="0" w:space="0" w:color="auto"/>
        <w:bottom w:val="none" w:sz="0" w:space="0" w:color="auto"/>
        <w:right w:val="none" w:sz="0" w:space="0" w:color="auto"/>
      </w:divBdr>
    </w:div>
    <w:div w:id="1415931694">
      <w:bodyDiv w:val="1"/>
      <w:marLeft w:val="0"/>
      <w:marRight w:val="0"/>
      <w:marTop w:val="0"/>
      <w:marBottom w:val="0"/>
      <w:divBdr>
        <w:top w:val="none" w:sz="0" w:space="0" w:color="auto"/>
        <w:left w:val="none" w:sz="0" w:space="0" w:color="auto"/>
        <w:bottom w:val="none" w:sz="0" w:space="0" w:color="auto"/>
        <w:right w:val="none" w:sz="0" w:space="0" w:color="auto"/>
      </w:divBdr>
    </w:div>
    <w:div w:id="1416317413">
      <w:bodyDiv w:val="1"/>
      <w:marLeft w:val="0"/>
      <w:marRight w:val="0"/>
      <w:marTop w:val="0"/>
      <w:marBottom w:val="0"/>
      <w:divBdr>
        <w:top w:val="none" w:sz="0" w:space="0" w:color="auto"/>
        <w:left w:val="none" w:sz="0" w:space="0" w:color="auto"/>
        <w:bottom w:val="none" w:sz="0" w:space="0" w:color="auto"/>
        <w:right w:val="none" w:sz="0" w:space="0" w:color="auto"/>
      </w:divBdr>
    </w:div>
    <w:div w:id="1422796675">
      <w:bodyDiv w:val="1"/>
      <w:marLeft w:val="0"/>
      <w:marRight w:val="0"/>
      <w:marTop w:val="0"/>
      <w:marBottom w:val="0"/>
      <w:divBdr>
        <w:top w:val="none" w:sz="0" w:space="0" w:color="auto"/>
        <w:left w:val="none" w:sz="0" w:space="0" w:color="auto"/>
        <w:bottom w:val="none" w:sz="0" w:space="0" w:color="auto"/>
        <w:right w:val="none" w:sz="0" w:space="0" w:color="auto"/>
      </w:divBdr>
    </w:div>
    <w:div w:id="1423061716">
      <w:bodyDiv w:val="1"/>
      <w:marLeft w:val="0"/>
      <w:marRight w:val="0"/>
      <w:marTop w:val="0"/>
      <w:marBottom w:val="0"/>
      <w:divBdr>
        <w:top w:val="none" w:sz="0" w:space="0" w:color="auto"/>
        <w:left w:val="none" w:sz="0" w:space="0" w:color="auto"/>
        <w:bottom w:val="none" w:sz="0" w:space="0" w:color="auto"/>
        <w:right w:val="none" w:sz="0" w:space="0" w:color="auto"/>
      </w:divBdr>
    </w:div>
    <w:div w:id="1428039634">
      <w:bodyDiv w:val="1"/>
      <w:marLeft w:val="0"/>
      <w:marRight w:val="0"/>
      <w:marTop w:val="0"/>
      <w:marBottom w:val="0"/>
      <w:divBdr>
        <w:top w:val="none" w:sz="0" w:space="0" w:color="auto"/>
        <w:left w:val="none" w:sz="0" w:space="0" w:color="auto"/>
        <w:bottom w:val="none" w:sz="0" w:space="0" w:color="auto"/>
        <w:right w:val="none" w:sz="0" w:space="0" w:color="auto"/>
      </w:divBdr>
    </w:div>
    <w:div w:id="1430198398">
      <w:bodyDiv w:val="1"/>
      <w:marLeft w:val="0"/>
      <w:marRight w:val="0"/>
      <w:marTop w:val="0"/>
      <w:marBottom w:val="0"/>
      <w:divBdr>
        <w:top w:val="none" w:sz="0" w:space="0" w:color="auto"/>
        <w:left w:val="none" w:sz="0" w:space="0" w:color="auto"/>
        <w:bottom w:val="none" w:sz="0" w:space="0" w:color="auto"/>
        <w:right w:val="none" w:sz="0" w:space="0" w:color="auto"/>
      </w:divBdr>
    </w:div>
    <w:div w:id="1430813256">
      <w:bodyDiv w:val="1"/>
      <w:marLeft w:val="0"/>
      <w:marRight w:val="0"/>
      <w:marTop w:val="0"/>
      <w:marBottom w:val="0"/>
      <w:divBdr>
        <w:top w:val="none" w:sz="0" w:space="0" w:color="auto"/>
        <w:left w:val="none" w:sz="0" w:space="0" w:color="auto"/>
        <w:bottom w:val="none" w:sz="0" w:space="0" w:color="auto"/>
        <w:right w:val="none" w:sz="0" w:space="0" w:color="auto"/>
      </w:divBdr>
    </w:div>
    <w:div w:id="1431125826">
      <w:bodyDiv w:val="1"/>
      <w:marLeft w:val="0"/>
      <w:marRight w:val="0"/>
      <w:marTop w:val="0"/>
      <w:marBottom w:val="0"/>
      <w:divBdr>
        <w:top w:val="none" w:sz="0" w:space="0" w:color="auto"/>
        <w:left w:val="none" w:sz="0" w:space="0" w:color="auto"/>
        <w:bottom w:val="none" w:sz="0" w:space="0" w:color="auto"/>
        <w:right w:val="none" w:sz="0" w:space="0" w:color="auto"/>
      </w:divBdr>
    </w:div>
    <w:div w:id="1431779464">
      <w:bodyDiv w:val="1"/>
      <w:marLeft w:val="0"/>
      <w:marRight w:val="0"/>
      <w:marTop w:val="0"/>
      <w:marBottom w:val="0"/>
      <w:divBdr>
        <w:top w:val="none" w:sz="0" w:space="0" w:color="auto"/>
        <w:left w:val="none" w:sz="0" w:space="0" w:color="auto"/>
        <w:bottom w:val="none" w:sz="0" w:space="0" w:color="auto"/>
        <w:right w:val="none" w:sz="0" w:space="0" w:color="auto"/>
      </w:divBdr>
    </w:div>
    <w:div w:id="1437017986">
      <w:bodyDiv w:val="1"/>
      <w:marLeft w:val="0"/>
      <w:marRight w:val="0"/>
      <w:marTop w:val="0"/>
      <w:marBottom w:val="0"/>
      <w:divBdr>
        <w:top w:val="none" w:sz="0" w:space="0" w:color="auto"/>
        <w:left w:val="none" w:sz="0" w:space="0" w:color="auto"/>
        <w:bottom w:val="none" w:sz="0" w:space="0" w:color="auto"/>
        <w:right w:val="none" w:sz="0" w:space="0" w:color="auto"/>
      </w:divBdr>
    </w:div>
    <w:div w:id="1437361961">
      <w:bodyDiv w:val="1"/>
      <w:marLeft w:val="0"/>
      <w:marRight w:val="0"/>
      <w:marTop w:val="0"/>
      <w:marBottom w:val="0"/>
      <w:divBdr>
        <w:top w:val="none" w:sz="0" w:space="0" w:color="auto"/>
        <w:left w:val="none" w:sz="0" w:space="0" w:color="auto"/>
        <w:bottom w:val="none" w:sz="0" w:space="0" w:color="auto"/>
        <w:right w:val="none" w:sz="0" w:space="0" w:color="auto"/>
      </w:divBdr>
    </w:div>
    <w:div w:id="1438062251">
      <w:bodyDiv w:val="1"/>
      <w:marLeft w:val="0"/>
      <w:marRight w:val="0"/>
      <w:marTop w:val="0"/>
      <w:marBottom w:val="0"/>
      <w:divBdr>
        <w:top w:val="none" w:sz="0" w:space="0" w:color="auto"/>
        <w:left w:val="none" w:sz="0" w:space="0" w:color="auto"/>
        <w:bottom w:val="none" w:sz="0" w:space="0" w:color="auto"/>
        <w:right w:val="none" w:sz="0" w:space="0" w:color="auto"/>
      </w:divBdr>
    </w:div>
    <w:div w:id="1441604843">
      <w:bodyDiv w:val="1"/>
      <w:marLeft w:val="0"/>
      <w:marRight w:val="0"/>
      <w:marTop w:val="0"/>
      <w:marBottom w:val="0"/>
      <w:divBdr>
        <w:top w:val="none" w:sz="0" w:space="0" w:color="auto"/>
        <w:left w:val="none" w:sz="0" w:space="0" w:color="auto"/>
        <w:bottom w:val="none" w:sz="0" w:space="0" w:color="auto"/>
        <w:right w:val="none" w:sz="0" w:space="0" w:color="auto"/>
      </w:divBdr>
    </w:div>
    <w:div w:id="1445462141">
      <w:bodyDiv w:val="1"/>
      <w:marLeft w:val="0"/>
      <w:marRight w:val="0"/>
      <w:marTop w:val="0"/>
      <w:marBottom w:val="0"/>
      <w:divBdr>
        <w:top w:val="none" w:sz="0" w:space="0" w:color="auto"/>
        <w:left w:val="none" w:sz="0" w:space="0" w:color="auto"/>
        <w:bottom w:val="none" w:sz="0" w:space="0" w:color="auto"/>
        <w:right w:val="none" w:sz="0" w:space="0" w:color="auto"/>
      </w:divBdr>
    </w:div>
    <w:div w:id="1445611572">
      <w:bodyDiv w:val="1"/>
      <w:marLeft w:val="0"/>
      <w:marRight w:val="0"/>
      <w:marTop w:val="0"/>
      <w:marBottom w:val="0"/>
      <w:divBdr>
        <w:top w:val="none" w:sz="0" w:space="0" w:color="auto"/>
        <w:left w:val="none" w:sz="0" w:space="0" w:color="auto"/>
        <w:bottom w:val="none" w:sz="0" w:space="0" w:color="auto"/>
        <w:right w:val="none" w:sz="0" w:space="0" w:color="auto"/>
      </w:divBdr>
    </w:div>
    <w:div w:id="1448544909">
      <w:bodyDiv w:val="1"/>
      <w:marLeft w:val="0"/>
      <w:marRight w:val="0"/>
      <w:marTop w:val="0"/>
      <w:marBottom w:val="0"/>
      <w:divBdr>
        <w:top w:val="none" w:sz="0" w:space="0" w:color="auto"/>
        <w:left w:val="none" w:sz="0" w:space="0" w:color="auto"/>
        <w:bottom w:val="none" w:sz="0" w:space="0" w:color="auto"/>
        <w:right w:val="none" w:sz="0" w:space="0" w:color="auto"/>
      </w:divBdr>
    </w:div>
    <w:div w:id="1455171257">
      <w:bodyDiv w:val="1"/>
      <w:marLeft w:val="0"/>
      <w:marRight w:val="0"/>
      <w:marTop w:val="0"/>
      <w:marBottom w:val="0"/>
      <w:divBdr>
        <w:top w:val="none" w:sz="0" w:space="0" w:color="auto"/>
        <w:left w:val="none" w:sz="0" w:space="0" w:color="auto"/>
        <w:bottom w:val="none" w:sz="0" w:space="0" w:color="auto"/>
        <w:right w:val="none" w:sz="0" w:space="0" w:color="auto"/>
      </w:divBdr>
    </w:div>
    <w:div w:id="1456677813">
      <w:bodyDiv w:val="1"/>
      <w:marLeft w:val="0"/>
      <w:marRight w:val="0"/>
      <w:marTop w:val="0"/>
      <w:marBottom w:val="0"/>
      <w:divBdr>
        <w:top w:val="none" w:sz="0" w:space="0" w:color="auto"/>
        <w:left w:val="none" w:sz="0" w:space="0" w:color="auto"/>
        <w:bottom w:val="none" w:sz="0" w:space="0" w:color="auto"/>
        <w:right w:val="none" w:sz="0" w:space="0" w:color="auto"/>
      </w:divBdr>
    </w:div>
    <w:div w:id="1465267143">
      <w:bodyDiv w:val="1"/>
      <w:marLeft w:val="0"/>
      <w:marRight w:val="0"/>
      <w:marTop w:val="0"/>
      <w:marBottom w:val="0"/>
      <w:divBdr>
        <w:top w:val="none" w:sz="0" w:space="0" w:color="auto"/>
        <w:left w:val="none" w:sz="0" w:space="0" w:color="auto"/>
        <w:bottom w:val="none" w:sz="0" w:space="0" w:color="auto"/>
        <w:right w:val="none" w:sz="0" w:space="0" w:color="auto"/>
      </w:divBdr>
    </w:div>
    <w:div w:id="1467430006">
      <w:bodyDiv w:val="1"/>
      <w:marLeft w:val="0"/>
      <w:marRight w:val="0"/>
      <w:marTop w:val="0"/>
      <w:marBottom w:val="0"/>
      <w:divBdr>
        <w:top w:val="none" w:sz="0" w:space="0" w:color="auto"/>
        <w:left w:val="none" w:sz="0" w:space="0" w:color="auto"/>
        <w:bottom w:val="none" w:sz="0" w:space="0" w:color="auto"/>
        <w:right w:val="none" w:sz="0" w:space="0" w:color="auto"/>
      </w:divBdr>
    </w:div>
    <w:div w:id="1467891918">
      <w:bodyDiv w:val="1"/>
      <w:marLeft w:val="0"/>
      <w:marRight w:val="0"/>
      <w:marTop w:val="0"/>
      <w:marBottom w:val="0"/>
      <w:divBdr>
        <w:top w:val="none" w:sz="0" w:space="0" w:color="auto"/>
        <w:left w:val="none" w:sz="0" w:space="0" w:color="auto"/>
        <w:bottom w:val="none" w:sz="0" w:space="0" w:color="auto"/>
        <w:right w:val="none" w:sz="0" w:space="0" w:color="auto"/>
      </w:divBdr>
    </w:div>
    <w:div w:id="1468624126">
      <w:bodyDiv w:val="1"/>
      <w:marLeft w:val="0"/>
      <w:marRight w:val="0"/>
      <w:marTop w:val="0"/>
      <w:marBottom w:val="0"/>
      <w:divBdr>
        <w:top w:val="none" w:sz="0" w:space="0" w:color="auto"/>
        <w:left w:val="none" w:sz="0" w:space="0" w:color="auto"/>
        <w:bottom w:val="none" w:sz="0" w:space="0" w:color="auto"/>
        <w:right w:val="none" w:sz="0" w:space="0" w:color="auto"/>
      </w:divBdr>
    </w:div>
    <w:div w:id="1473861012">
      <w:bodyDiv w:val="1"/>
      <w:marLeft w:val="0"/>
      <w:marRight w:val="0"/>
      <w:marTop w:val="0"/>
      <w:marBottom w:val="0"/>
      <w:divBdr>
        <w:top w:val="none" w:sz="0" w:space="0" w:color="auto"/>
        <w:left w:val="none" w:sz="0" w:space="0" w:color="auto"/>
        <w:bottom w:val="none" w:sz="0" w:space="0" w:color="auto"/>
        <w:right w:val="none" w:sz="0" w:space="0" w:color="auto"/>
      </w:divBdr>
    </w:div>
    <w:div w:id="1474785280">
      <w:bodyDiv w:val="1"/>
      <w:marLeft w:val="0"/>
      <w:marRight w:val="0"/>
      <w:marTop w:val="0"/>
      <w:marBottom w:val="0"/>
      <w:divBdr>
        <w:top w:val="none" w:sz="0" w:space="0" w:color="auto"/>
        <w:left w:val="none" w:sz="0" w:space="0" w:color="auto"/>
        <w:bottom w:val="none" w:sz="0" w:space="0" w:color="auto"/>
        <w:right w:val="none" w:sz="0" w:space="0" w:color="auto"/>
      </w:divBdr>
    </w:div>
    <w:div w:id="1477186250">
      <w:bodyDiv w:val="1"/>
      <w:marLeft w:val="0"/>
      <w:marRight w:val="0"/>
      <w:marTop w:val="0"/>
      <w:marBottom w:val="0"/>
      <w:divBdr>
        <w:top w:val="none" w:sz="0" w:space="0" w:color="auto"/>
        <w:left w:val="none" w:sz="0" w:space="0" w:color="auto"/>
        <w:bottom w:val="none" w:sz="0" w:space="0" w:color="auto"/>
        <w:right w:val="none" w:sz="0" w:space="0" w:color="auto"/>
      </w:divBdr>
    </w:div>
    <w:div w:id="1486240053">
      <w:bodyDiv w:val="1"/>
      <w:marLeft w:val="0"/>
      <w:marRight w:val="0"/>
      <w:marTop w:val="0"/>
      <w:marBottom w:val="0"/>
      <w:divBdr>
        <w:top w:val="none" w:sz="0" w:space="0" w:color="auto"/>
        <w:left w:val="none" w:sz="0" w:space="0" w:color="auto"/>
        <w:bottom w:val="none" w:sz="0" w:space="0" w:color="auto"/>
        <w:right w:val="none" w:sz="0" w:space="0" w:color="auto"/>
      </w:divBdr>
    </w:div>
    <w:div w:id="1494685548">
      <w:bodyDiv w:val="1"/>
      <w:marLeft w:val="0"/>
      <w:marRight w:val="0"/>
      <w:marTop w:val="0"/>
      <w:marBottom w:val="0"/>
      <w:divBdr>
        <w:top w:val="none" w:sz="0" w:space="0" w:color="auto"/>
        <w:left w:val="none" w:sz="0" w:space="0" w:color="auto"/>
        <w:bottom w:val="none" w:sz="0" w:space="0" w:color="auto"/>
        <w:right w:val="none" w:sz="0" w:space="0" w:color="auto"/>
      </w:divBdr>
    </w:div>
    <w:div w:id="1495609300">
      <w:bodyDiv w:val="1"/>
      <w:marLeft w:val="0"/>
      <w:marRight w:val="0"/>
      <w:marTop w:val="0"/>
      <w:marBottom w:val="0"/>
      <w:divBdr>
        <w:top w:val="none" w:sz="0" w:space="0" w:color="auto"/>
        <w:left w:val="none" w:sz="0" w:space="0" w:color="auto"/>
        <w:bottom w:val="none" w:sz="0" w:space="0" w:color="auto"/>
        <w:right w:val="none" w:sz="0" w:space="0" w:color="auto"/>
      </w:divBdr>
    </w:div>
    <w:div w:id="1496459017">
      <w:bodyDiv w:val="1"/>
      <w:marLeft w:val="0"/>
      <w:marRight w:val="0"/>
      <w:marTop w:val="0"/>
      <w:marBottom w:val="0"/>
      <w:divBdr>
        <w:top w:val="none" w:sz="0" w:space="0" w:color="auto"/>
        <w:left w:val="none" w:sz="0" w:space="0" w:color="auto"/>
        <w:bottom w:val="none" w:sz="0" w:space="0" w:color="auto"/>
        <w:right w:val="none" w:sz="0" w:space="0" w:color="auto"/>
      </w:divBdr>
    </w:div>
    <w:div w:id="1498299697">
      <w:bodyDiv w:val="1"/>
      <w:marLeft w:val="0"/>
      <w:marRight w:val="0"/>
      <w:marTop w:val="0"/>
      <w:marBottom w:val="0"/>
      <w:divBdr>
        <w:top w:val="none" w:sz="0" w:space="0" w:color="auto"/>
        <w:left w:val="none" w:sz="0" w:space="0" w:color="auto"/>
        <w:bottom w:val="none" w:sz="0" w:space="0" w:color="auto"/>
        <w:right w:val="none" w:sz="0" w:space="0" w:color="auto"/>
      </w:divBdr>
    </w:div>
    <w:div w:id="1498301243">
      <w:bodyDiv w:val="1"/>
      <w:marLeft w:val="0"/>
      <w:marRight w:val="0"/>
      <w:marTop w:val="0"/>
      <w:marBottom w:val="0"/>
      <w:divBdr>
        <w:top w:val="none" w:sz="0" w:space="0" w:color="auto"/>
        <w:left w:val="none" w:sz="0" w:space="0" w:color="auto"/>
        <w:bottom w:val="none" w:sz="0" w:space="0" w:color="auto"/>
        <w:right w:val="none" w:sz="0" w:space="0" w:color="auto"/>
      </w:divBdr>
    </w:div>
    <w:div w:id="1499075876">
      <w:bodyDiv w:val="1"/>
      <w:marLeft w:val="0"/>
      <w:marRight w:val="0"/>
      <w:marTop w:val="0"/>
      <w:marBottom w:val="0"/>
      <w:divBdr>
        <w:top w:val="none" w:sz="0" w:space="0" w:color="auto"/>
        <w:left w:val="none" w:sz="0" w:space="0" w:color="auto"/>
        <w:bottom w:val="none" w:sz="0" w:space="0" w:color="auto"/>
        <w:right w:val="none" w:sz="0" w:space="0" w:color="auto"/>
      </w:divBdr>
    </w:div>
    <w:div w:id="1500654777">
      <w:bodyDiv w:val="1"/>
      <w:marLeft w:val="0"/>
      <w:marRight w:val="0"/>
      <w:marTop w:val="0"/>
      <w:marBottom w:val="0"/>
      <w:divBdr>
        <w:top w:val="none" w:sz="0" w:space="0" w:color="auto"/>
        <w:left w:val="none" w:sz="0" w:space="0" w:color="auto"/>
        <w:bottom w:val="none" w:sz="0" w:space="0" w:color="auto"/>
        <w:right w:val="none" w:sz="0" w:space="0" w:color="auto"/>
      </w:divBdr>
    </w:div>
    <w:div w:id="1501654684">
      <w:bodyDiv w:val="1"/>
      <w:marLeft w:val="0"/>
      <w:marRight w:val="0"/>
      <w:marTop w:val="0"/>
      <w:marBottom w:val="0"/>
      <w:divBdr>
        <w:top w:val="none" w:sz="0" w:space="0" w:color="auto"/>
        <w:left w:val="none" w:sz="0" w:space="0" w:color="auto"/>
        <w:bottom w:val="none" w:sz="0" w:space="0" w:color="auto"/>
        <w:right w:val="none" w:sz="0" w:space="0" w:color="auto"/>
      </w:divBdr>
    </w:div>
    <w:div w:id="1502742095">
      <w:bodyDiv w:val="1"/>
      <w:marLeft w:val="0"/>
      <w:marRight w:val="0"/>
      <w:marTop w:val="0"/>
      <w:marBottom w:val="0"/>
      <w:divBdr>
        <w:top w:val="none" w:sz="0" w:space="0" w:color="auto"/>
        <w:left w:val="none" w:sz="0" w:space="0" w:color="auto"/>
        <w:bottom w:val="none" w:sz="0" w:space="0" w:color="auto"/>
        <w:right w:val="none" w:sz="0" w:space="0" w:color="auto"/>
      </w:divBdr>
    </w:div>
    <w:div w:id="1506937169">
      <w:bodyDiv w:val="1"/>
      <w:marLeft w:val="0"/>
      <w:marRight w:val="0"/>
      <w:marTop w:val="0"/>
      <w:marBottom w:val="0"/>
      <w:divBdr>
        <w:top w:val="none" w:sz="0" w:space="0" w:color="auto"/>
        <w:left w:val="none" w:sz="0" w:space="0" w:color="auto"/>
        <w:bottom w:val="none" w:sz="0" w:space="0" w:color="auto"/>
        <w:right w:val="none" w:sz="0" w:space="0" w:color="auto"/>
      </w:divBdr>
    </w:div>
    <w:div w:id="1512255766">
      <w:bodyDiv w:val="1"/>
      <w:marLeft w:val="0"/>
      <w:marRight w:val="0"/>
      <w:marTop w:val="0"/>
      <w:marBottom w:val="0"/>
      <w:divBdr>
        <w:top w:val="none" w:sz="0" w:space="0" w:color="auto"/>
        <w:left w:val="none" w:sz="0" w:space="0" w:color="auto"/>
        <w:bottom w:val="none" w:sz="0" w:space="0" w:color="auto"/>
        <w:right w:val="none" w:sz="0" w:space="0" w:color="auto"/>
      </w:divBdr>
    </w:div>
    <w:div w:id="1522864212">
      <w:bodyDiv w:val="1"/>
      <w:marLeft w:val="0"/>
      <w:marRight w:val="0"/>
      <w:marTop w:val="0"/>
      <w:marBottom w:val="0"/>
      <w:divBdr>
        <w:top w:val="none" w:sz="0" w:space="0" w:color="auto"/>
        <w:left w:val="none" w:sz="0" w:space="0" w:color="auto"/>
        <w:bottom w:val="none" w:sz="0" w:space="0" w:color="auto"/>
        <w:right w:val="none" w:sz="0" w:space="0" w:color="auto"/>
      </w:divBdr>
    </w:div>
    <w:div w:id="1533836379">
      <w:bodyDiv w:val="1"/>
      <w:marLeft w:val="0"/>
      <w:marRight w:val="0"/>
      <w:marTop w:val="0"/>
      <w:marBottom w:val="0"/>
      <w:divBdr>
        <w:top w:val="none" w:sz="0" w:space="0" w:color="auto"/>
        <w:left w:val="none" w:sz="0" w:space="0" w:color="auto"/>
        <w:bottom w:val="none" w:sz="0" w:space="0" w:color="auto"/>
        <w:right w:val="none" w:sz="0" w:space="0" w:color="auto"/>
      </w:divBdr>
    </w:div>
    <w:div w:id="1538346782">
      <w:bodyDiv w:val="1"/>
      <w:marLeft w:val="0"/>
      <w:marRight w:val="0"/>
      <w:marTop w:val="0"/>
      <w:marBottom w:val="0"/>
      <w:divBdr>
        <w:top w:val="none" w:sz="0" w:space="0" w:color="auto"/>
        <w:left w:val="none" w:sz="0" w:space="0" w:color="auto"/>
        <w:bottom w:val="none" w:sz="0" w:space="0" w:color="auto"/>
        <w:right w:val="none" w:sz="0" w:space="0" w:color="auto"/>
      </w:divBdr>
    </w:div>
    <w:div w:id="1541169212">
      <w:bodyDiv w:val="1"/>
      <w:marLeft w:val="0"/>
      <w:marRight w:val="0"/>
      <w:marTop w:val="0"/>
      <w:marBottom w:val="0"/>
      <w:divBdr>
        <w:top w:val="none" w:sz="0" w:space="0" w:color="auto"/>
        <w:left w:val="none" w:sz="0" w:space="0" w:color="auto"/>
        <w:bottom w:val="none" w:sz="0" w:space="0" w:color="auto"/>
        <w:right w:val="none" w:sz="0" w:space="0" w:color="auto"/>
      </w:divBdr>
    </w:div>
    <w:div w:id="1546720844">
      <w:bodyDiv w:val="1"/>
      <w:marLeft w:val="0"/>
      <w:marRight w:val="0"/>
      <w:marTop w:val="0"/>
      <w:marBottom w:val="0"/>
      <w:divBdr>
        <w:top w:val="none" w:sz="0" w:space="0" w:color="auto"/>
        <w:left w:val="none" w:sz="0" w:space="0" w:color="auto"/>
        <w:bottom w:val="none" w:sz="0" w:space="0" w:color="auto"/>
        <w:right w:val="none" w:sz="0" w:space="0" w:color="auto"/>
      </w:divBdr>
    </w:div>
    <w:div w:id="1548295834">
      <w:bodyDiv w:val="1"/>
      <w:marLeft w:val="0"/>
      <w:marRight w:val="0"/>
      <w:marTop w:val="0"/>
      <w:marBottom w:val="0"/>
      <w:divBdr>
        <w:top w:val="none" w:sz="0" w:space="0" w:color="auto"/>
        <w:left w:val="none" w:sz="0" w:space="0" w:color="auto"/>
        <w:bottom w:val="none" w:sz="0" w:space="0" w:color="auto"/>
        <w:right w:val="none" w:sz="0" w:space="0" w:color="auto"/>
      </w:divBdr>
    </w:div>
    <w:div w:id="1554778087">
      <w:bodyDiv w:val="1"/>
      <w:marLeft w:val="0"/>
      <w:marRight w:val="0"/>
      <w:marTop w:val="0"/>
      <w:marBottom w:val="0"/>
      <w:divBdr>
        <w:top w:val="none" w:sz="0" w:space="0" w:color="auto"/>
        <w:left w:val="none" w:sz="0" w:space="0" w:color="auto"/>
        <w:bottom w:val="none" w:sz="0" w:space="0" w:color="auto"/>
        <w:right w:val="none" w:sz="0" w:space="0" w:color="auto"/>
      </w:divBdr>
    </w:div>
    <w:div w:id="1555966897">
      <w:bodyDiv w:val="1"/>
      <w:marLeft w:val="0"/>
      <w:marRight w:val="0"/>
      <w:marTop w:val="0"/>
      <w:marBottom w:val="0"/>
      <w:divBdr>
        <w:top w:val="none" w:sz="0" w:space="0" w:color="auto"/>
        <w:left w:val="none" w:sz="0" w:space="0" w:color="auto"/>
        <w:bottom w:val="none" w:sz="0" w:space="0" w:color="auto"/>
        <w:right w:val="none" w:sz="0" w:space="0" w:color="auto"/>
      </w:divBdr>
    </w:div>
    <w:div w:id="1559630140">
      <w:bodyDiv w:val="1"/>
      <w:marLeft w:val="0"/>
      <w:marRight w:val="0"/>
      <w:marTop w:val="0"/>
      <w:marBottom w:val="0"/>
      <w:divBdr>
        <w:top w:val="none" w:sz="0" w:space="0" w:color="auto"/>
        <w:left w:val="none" w:sz="0" w:space="0" w:color="auto"/>
        <w:bottom w:val="none" w:sz="0" w:space="0" w:color="auto"/>
        <w:right w:val="none" w:sz="0" w:space="0" w:color="auto"/>
      </w:divBdr>
    </w:div>
    <w:div w:id="1562247322">
      <w:bodyDiv w:val="1"/>
      <w:marLeft w:val="0"/>
      <w:marRight w:val="0"/>
      <w:marTop w:val="0"/>
      <w:marBottom w:val="0"/>
      <w:divBdr>
        <w:top w:val="none" w:sz="0" w:space="0" w:color="auto"/>
        <w:left w:val="none" w:sz="0" w:space="0" w:color="auto"/>
        <w:bottom w:val="none" w:sz="0" w:space="0" w:color="auto"/>
        <w:right w:val="none" w:sz="0" w:space="0" w:color="auto"/>
      </w:divBdr>
    </w:div>
    <w:div w:id="1565796343">
      <w:bodyDiv w:val="1"/>
      <w:marLeft w:val="0"/>
      <w:marRight w:val="0"/>
      <w:marTop w:val="0"/>
      <w:marBottom w:val="0"/>
      <w:divBdr>
        <w:top w:val="none" w:sz="0" w:space="0" w:color="auto"/>
        <w:left w:val="none" w:sz="0" w:space="0" w:color="auto"/>
        <w:bottom w:val="none" w:sz="0" w:space="0" w:color="auto"/>
        <w:right w:val="none" w:sz="0" w:space="0" w:color="auto"/>
      </w:divBdr>
    </w:div>
    <w:div w:id="1566263151">
      <w:bodyDiv w:val="1"/>
      <w:marLeft w:val="0"/>
      <w:marRight w:val="0"/>
      <w:marTop w:val="0"/>
      <w:marBottom w:val="0"/>
      <w:divBdr>
        <w:top w:val="none" w:sz="0" w:space="0" w:color="auto"/>
        <w:left w:val="none" w:sz="0" w:space="0" w:color="auto"/>
        <w:bottom w:val="none" w:sz="0" w:space="0" w:color="auto"/>
        <w:right w:val="none" w:sz="0" w:space="0" w:color="auto"/>
      </w:divBdr>
    </w:div>
    <w:div w:id="1573853685">
      <w:bodyDiv w:val="1"/>
      <w:marLeft w:val="0"/>
      <w:marRight w:val="0"/>
      <w:marTop w:val="0"/>
      <w:marBottom w:val="0"/>
      <w:divBdr>
        <w:top w:val="none" w:sz="0" w:space="0" w:color="auto"/>
        <w:left w:val="none" w:sz="0" w:space="0" w:color="auto"/>
        <w:bottom w:val="none" w:sz="0" w:space="0" w:color="auto"/>
        <w:right w:val="none" w:sz="0" w:space="0" w:color="auto"/>
      </w:divBdr>
    </w:div>
    <w:div w:id="1577125392">
      <w:bodyDiv w:val="1"/>
      <w:marLeft w:val="0"/>
      <w:marRight w:val="0"/>
      <w:marTop w:val="0"/>
      <w:marBottom w:val="0"/>
      <w:divBdr>
        <w:top w:val="none" w:sz="0" w:space="0" w:color="auto"/>
        <w:left w:val="none" w:sz="0" w:space="0" w:color="auto"/>
        <w:bottom w:val="none" w:sz="0" w:space="0" w:color="auto"/>
        <w:right w:val="none" w:sz="0" w:space="0" w:color="auto"/>
      </w:divBdr>
    </w:div>
    <w:div w:id="1577323158">
      <w:bodyDiv w:val="1"/>
      <w:marLeft w:val="0"/>
      <w:marRight w:val="0"/>
      <w:marTop w:val="0"/>
      <w:marBottom w:val="0"/>
      <w:divBdr>
        <w:top w:val="none" w:sz="0" w:space="0" w:color="auto"/>
        <w:left w:val="none" w:sz="0" w:space="0" w:color="auto"/>
        <w:bottom w:val="none" w:sz="0" w:space="0" w:color="auto"/>
        <w:right w:val="none" w:sz="0" w:space="0" w:color="auto"/>
      </w:divBdr>
    </w:div>
    <w:div w:id="1582980650">
      <w:bodyDiv w:val="1"/>
      <w:marLeft w:val="0"/>
      <w:marRight w:val="0"/>
      <w:marTop w:val="0"/>
      <w:marBottom w:val="0"/>
      <w:divBdr>
        <w:top w:val="none" w:sz="0" w:space="0" w:color="auto"/>
        <w:left w:val="none" w:sz="0" w:space="0" w:color="auto"/>
        <w:bottom w:val="none" w:sz="0" w:space="0" w:color="auto"/>
        <w:right w:val="none" w:sz="0" w:space="0" w:color="auto"/>
      </w:divBdr>
    </w:div>
    <w:div w:id="1588998281">
      <w:bodyDiv w:val="1"/>
      <w:marLeft w:val="0"/>
      <w:marRight w:val="0"/>
      <w:marTop w:val="0"/>
      <w:marBottom w:val="0"/>
      <w:divBdr>
        <w:top w:val="none" w:sz="0" w:space="0" w:color="auto"/>
        <w:left w:val="none" w:sz="0" w:space="0" w:color="auto"/>
        <w:bottom w:val="none" w:sz="0" w:space="0" w:color="auto"/>
        <w:right w:val="none" w:sz="0" w:space="0" w:color="auto"/>
      </w:divBdr>
    </w:div>
    <w:div w:id="1603764206">
      <w:bodyDiv w:val="1"/>
      <w:marLeft w:val="0"/>
      <w:marRight w:val="0"/>
      <w:marTop w:val="0"/>
      <w:marBottom w:val="0"/>
      <w:divBdr>
        <w:top w:val="none" w:sz="0" w:space="0" w:color="auto"/>
        <w:left w:val="none" w:sz="0" w:space="0" w:color="auto"/>
        <w:bottom w:val="none" w:sz="0" w:space="0" w:color="auto"/>
        <w:right w:val="none" w:sz="0" w:space="0" w:color="auto"/>
      </w:divBdr>
    </w:div>
    <w:div w:id="1604530053">
      <w:bodyDiv w:val="1"/>
      <w:marLeft w:val="0"/>
      <w:marRight w:val="0"/>
      <w:marTop w:val="0"/>
      <w:marBottom w:val="0"/>
      <w:divBdr>
        <w:top w:val="none" w:sz="0" w:space="0" w:color="auto"/>
        <w:left w:val="none" w:sz="0" w:space="0" w:color="auto"/>
        <w:bottom w:val="none" w:sz="0" w:space="0" w:color="auto"/>
        <w:right w:val="none" w:sz="0" w:space="0" w:color="auto"/>
      </w:divBdr>
    </w:div>
    <w:div w:id="1605336509">
      <w:bodyDiv w:val="1"/>
      <w:marLeft w:val="0"/>
      <w:marRight w:val="0"/>
      <w:marTop w:val="0"/>
      <w:marBottom w:val="0"/>
      <w:divBdr>
        <w:top w:val="none" w:sz="0" w:space="0" w:color="auto"/>
        <w:left w:val="none" w:sz="0" w:space="0" w:color="auto"/>
        <w:bottom w:val="none" w:sz="0" w:space="0" w:color="auto"/>
        <w:right w:val="none" w:sz="0" w:space="0" w:color="auto"/>
      </w:divBdr>
    </w:div>
    <w:div w:id="1607543665">
      <w:bodyDiv w:val="1"/>
      <w:marLeft w:val="0"/>
      <w:marRight w:val="0"/>
      <w:marTop w:val="0"/>
      <w:marBottom w:val="0"/>
      <w:divBdr>
        <w:top w:val="none" w:sz="0" w:space="0" w:color="auto"/>
        <w:left w:val="none" w:sz="0" w:space="0" w:color="auto"/>
        <w:bottom w:val="none" w:sz="0" w:space="0" w:color="auto"/>
        <w:right w:val="none" w:sz="0" w:space="0" w:color="auto"/>
      </w:divBdr>
    </w:div>
    <w:div w:id="1608848914">
      <w:bodyDiv w:val="1"/>
      <w:marLeft w:val="0"/>
      <w:marRight w:val="0"/>
      <w:marTop w:val="0"/>
      <w:marBottom w:val="0"/>
      <w:divBdr>
        <w:top w:val="none" w:sz="0" w:space="0" w:color="auto"/>
        <w:left w:val="none" w:sz="0" w:space="0" w:color="auto"/>
        <w:bottom w:val="none" w:sz="0" w:space="0" w:color="auto"/>
        <w:right w:val="none" w:sz="0" w:space="0" w:color="auto"/>
      </w:divBdr>
    </w:div>
    <w:div w:id="1615943651">
      <w:bodyDiv w:val="1"/>
      <w:marLeft w:val="0"/>
      <w:marRight w:val="0"/>
      <w:marTop w:val="0"/>
      <w:marBottom w:val="0"/>
      <w:divBdr>
        <w:top w:val="none" w:sz="0" w:space="0" w:color="auto"/>
        <w:left w:val="none" w:sz="0" w:space="0" w:color="auto"/>
        <w:bottom w:val="none" w:sz="0" w:space="0" w:color="auto"/>
        <w:right w:val="none" w:sz="0" w:space="0" w:color="auto"/>
      </w:divBdr>
    </w:div>
    <w:div w:id="1619097695">
      <w:bodyDiv w:val="1"/>
      <w:marLeft w:val="0"/>
      <w:marRight w:val="0"/>
      <w:marTop w:val="0"/>
      <w:marBottom w:val="0"/>
      <w:divBdr>
        <w:top w:val="none" w:sz="0" w:space="0" w:color="auto"/>
        <w:left w:val="none" w:sz="0" w:space="0" w:color="auto"/>
        <w:bottom w:val="none" w:sz="0" w:space="0" w:color="auto"/>
        <w:right w:val="none" w:sz="0" w:space="0" w:color="auto"/>
      </w:divBdr>
    </w:div>
    <w:div w:id="1619723531">
      <w:bodyDiv w:val="1"/>
      <w:marLeft w:val="0"/>
      <w:marRight w:val="0"/>
      <w:marTop w:val="0"/>
      <w:marBottom w:val="0"/>
      <w:divBdr>
        <w:top w:val="none" w:sz="0" w:space="0" w:color="auto"/>
        <w:left w:val="none" w:sz="0" w:space="0" w:color="auto"/>
        <w:bottom w:val="none" w:sz="0" w:space="0" w:color="auto"/>
        <w:right w:val="none" w:sz="0" w:space="0" w:color="auto"/>
      </w:divBdr>
    </w:div>
    <w:div w:id="1620991798">
      <w:bodyDiv w:val="1"/>
      <w:marLeft w:val="0"/>
      <w:marRight w:val="0"/>
      <w:marTop w:val="0"/>
      <w:marBottom w:val="0"/>
      <w:divBdr>
        <w:top w:val="none" w:sz="0" w:space="0" w:color="auto"/>
        <w:left w:val="none" w:sz="0" w:space="0" w:color="auto"/>
        <w:bottom w:val="none" w:sz="0" w:space="0" w:color="auto"/>
        <w:right w:val="none" w:sz="0" w:space="0" w:color="auto"/>
      </w:divBdr>
    </w:div>
    <w:div w:id="1627003933">
      <w:bodyDiv w:val="1"/>
      <w:marLeft w:val="0"/>
      <w:marRight w:val="0"/>
      <w:marTop w:val="0"/>
      <w:marBottom w:val="0"/>
      <w:divBdr>
        <w:top w:val="none" w:sz="0" w:space="0" w:color="auto"/>
        <w:left w:val="none" w:sz="0" w:space="0" w:color="auto"/>
        <w:bottom w:val="none" w:sz="0" w:space="0" w:color="auto"/>
        <w:right w:val="none" w:sz="0" w:space="0" w:color="auto"/>
      </w:divBdr>
    </w:div>
    <w:div w:id="1628316201">
      <w:bodyDiv w:val="1"/>
      <w:marLeft w:val="0"/>
      <w:marRight w:val="0"/>
      <w:marTop w:val="0"/>
      <w:marBottom w:val="0"/>
      <w:divBdr>
        <w:top w:val="none" w:sz="0" w:space="0" w:color="auto"/>
        <w:left w:val="none" w:sz="0" w:space="0" w:color="auto"/>
        <w:bottom w:val="none" w:sz="0" w:space="0" w:color="auto"/>
        <w:right w:val="none" w:sz="0" w:space="0" w:color="auto"/>
      </w:divBdr>
    </w:div>
    <w:div w:id="1631007656">
      <w:bodyDiv w:val="1"/>
      <w:marLeft w:val="0"/>
      <w:marRight w:val="0"/>
      <w:marTop w:val="0"/>
      <w:marBottom w:val="0"/>
      <w:divBdr>
        <w:top w:val="none" w:sz="0" w:space="0" w:color="auto"/>
        <w:left w:val="none" w:sz="0" w:space="0" w:color="auto"/>
        <w:bottom w:val="none" w:sz="0" w:space="0" w:color="auto"/>
        <w:right w:val="none" w:sz="0" w:space="0" w:color="auto"/>
      </w:divBdr>
    </w:div>
    <w:div w:id="1638027340">
      <w:bodyDiv w:val="1"/>
      <w:marLeft w:val="0"/>
      <w:marRight w:val="0"/>
      <w:marTop w:val="0"/>
      <w:marBottom w:val="0"/>
      <w:divBdr>
        <w:top w:val="none" w:sz="0" w:space="0" w:color="auto"/>
        <w:left w:val="none" w:sz="0" w:space="0" w:color="auto"/>
        <w:bottom w:val="none" w:sz="0" w:space="0" w:color="auto"/>
        <w:right w:val="none" w:sz="0" w:space="0" w:color="auto"/>
      </w:divBdr>
    </w:div>
    <w:div w:id="1645313439">
      <w:bodyDiv w:val="1"/>
      <w:marLeft w:val="0"/>
      <w:marRight w:val="0"/>
      <w:marTop w:val="0"/>
      <w:marBottom w:val="0"/>
      <w:divBdr>
        <w:top w:val="none" w:sz="0" w:space="0" w:color="auto"/>
        <w:left w:val="none" w:sz="0" w:space="0" w:color="auto"/>
        <w:bottom w:val="none" w:sz="0" w:space="0" w:color="auto"/>
        <w:right w:val="none" w:sz="0" w:space="0" w:color="auto"/>
      </w:divBdr>
    </w:div>
    <w:div w:id="1645357533">
      <w:bodyDiv w:val="1"/>
      <w:marLeft w:val="0"/>
      <w:marRight w:val="0"/>
      <w:marTop w:val="0"/>
      <w:marBottom w:val="0"/>
      <w:divBdr>
        <w:top w:val="none" w:sz="0" w:space="0" w:color="auto"/>
        <w:left w:val="none" w:sz="0" w:space="0" w:color="auto"/>
        <w:bottom w:val="none" w:sz="0" w:space="0" w:color="auto"/>
        <w:right w:val="none" w:sz="0" w:space="0" w:color="auto"/>
      </w:divBdr>
    </w:div>
    <w:div w:id="1646935964">
      <w:bodyDiv w:val="1"/>
      <w:marLeft w:val="0"/>
      <w:marRight w:val="0"/>
      <w:marTop w:val="0"/>
      <w:marBottom w:val="0"/>
      <w:divBdr>
        <w:top w:val="none" w:sz="0" w:space="0" w:color="auto"/>
        <w:left w:val="none" w:sz="0" w:space="0" w:color="auto"/>
        <w:bottom w:val="none" w:sz="0" w:space="0" w:color="auto"/>
        <w:right w:val="none" w:sz="0" w:space="0" w:color="auto"/>
      </w:divBdr>
    </w:div>
    <w:div w:id="1647589957">
      <w:bodyDiv w:val="1"/>
      <w:marLeft w:val="0"/>
      <w:marRight w:val="0"/>
      <w:marTop w:val="0"/>
      <w:marBottom w:val="0"/>
      <w:divBdr>
        <w:top w:val="none" w:sz="0" w:space="0" w:color="auto"/>
        <w:left w:val="none" w:sz="0" w:space="0" w:color="auto"/>
        <w:bottom w:val="none" w:sz="0" w:space="0" w:color="auto"/>
        <w:right w:val="none" w:sz="0" w:space="0" w:color="auto"/>
      </w:divBdr>
    </w:div>
    <w:div w:id="1647733380">
      <w:bodyDiv w:val="1"/>
      <w:marLeft w:val="0"/>
      <w:marRight w:val="0"/>
      <w:marTop w:val="0"/>
      <w:marBottom w:val="0"/>
      <w:divBdr>
        <w:top w:val="none" w:sz="0" w:space="0" w:color="auto"/>
        <w:left w:val="none" w:sz="0" w:space="0" w:color="auto"/>
        <w:bottom w:val="none" w:sz="0" w:space="0" w:color="auto"/>
        <w:right w:val="none" w:sz="0" w:space="0" w:color="auto"/>
      </w:divBdr>
    </w:div>
    <w:div w:id="1650090906">
      <w:bodyDiv w:val="1"/>
      <w:marLeft w:val="0"/>
      <w:marRight w:val="0"/>
      <w:marTop w:val="0"/>
      <w:marBottom w:val="0"/>
      <w:divBdr>
        <w:top w:val="none" w:sz="0" w:space="0" w:color="auto"/>
        <w:left w:val="none" w:sz="0" w:space="0" w:color="auto"/>
        <w:bottom w:val="none" w:sz="0" w:space="0" w:color="auto"/>
        <w:right w:val="none" w:sz="0" w:space="0" w:color="auto"/>
      </w:divBdr>
    </w:div>
    <w:div w:id="1654598189">
      <w:bodyDiv w:val="1"/>
      <w:marLeft w:val="0"/>
      <w:marRight w:val="0"/>
      <w:marTop w:val="0"/>
      <w:marBottom w:val="0"/>
      <w:divBdr>
        <w:top w:val="none" w:sz="0" w:space="0" w:color="auto"/>
        <w:left w:val="none" w:sz="0" w:space="0" w:color="auto"/>
        <w:bottom w:val="none" w:sz="0" w:space="0" w:color="auto"/>
        <w:right w:val="none" w:sz="0" w:space="0" w:color="auto"/>
      </w:divBdr>
    </w:div>
    <w:div w:id="1655259814">
      <w:bodyDiv w:val="1"/>
      <w:marLeft w:val="0"/>
      <w:marRight w:val="0"/>
      <w:marTop w:val="0"/>
      <w:marBottom w:val="0"/>
      <w:divBdr>
        <w:top w:val="none" w:sz="0" w:space="0" w:color="auto"/>
        <w:left w:val="none" w:sz="0" w:space="0" w:color="auto"/>
        <w:bottom w:val="none" w:sz="0" w:space="0" w:color="auto"/>
        <w:right w:val="none" w:sz="0" w:space="0" w:color="auto"/>
      </w:divBdr>
    </w:div>
    <w:div w:id="1661301995">
      <w:bodyDiv w:val="1"/>
      <w:marLeft w:val="0"/>
      <w:marRight w:val="0"/>
      <w:marTop w:val="0"/>
      <w:marBottom w:val="0"/>
      <w:divBdr>
        <w:top w:val="none" w:sz="0" w:space="0" w:color="auto"/>
        <w:left w:val="none" w:sz="0" w:space="0" w:color="auto"/>
        <w:bottom w:val="none" w:sz="0" w:space="0" w:color="auto"/>
        <w:right w:val="none" w:sz="0" w:space="0" w:color="auto"/>
      </w:divBdr>
    </w:div>
    <w:div w:id="1663772622">
      <w:bodyDiv w:val="1"/>
      <w:marLeft w:val="0"/>
      <w:marRight w:val="0"/>
      <w:marTop w:val="0"/>
      <w:marBottom w:val="0"/>
      <w:divBdr>
        <w:top w:val="none" w:sz="0" w:space="0" w:color="auto"/>
        <w:left w:val="none" w:sz="0" w:space="0" w:color="auto"/>
        <w:bottom w:val="none" w:sz="0" w:space="0" w:color="auto"/>
        <w:right w:val="none" w:sz="0" w:space="0" w:color="auto"/>
      </w:divBdr>
    </w:div>
    <w:div w:id="1664821877">
      <w:bodyDiv w:val="1"/>
      <w:marLeft w:val="0"/>
      <w:marRight w:val="0"/>
      <w:marTop w:val="0"/>
      <w:marBottom w:val="0"/>
      <w:divBdr>
        <w:top w:val="none" w:sz="0" w:space="0" w:color="auto"/>
        <w:left w:val="none" w:sz="0" w:space="0" w:color="auto"/>
        <w:bottom w:val="none" w:sz="0" w:space="0" w:color="auto"/>
        <w:right w:val="none" w:sz="0" w:space="0" w:color="auto"/>
      </w:divBdr>
    </w:div>
    <w:div w:id="1665358987">
      <w:bodyDiv w:val="1"/>
      <w:marLeft w:val="0"/>
      <w:marRight w:val="0"/>
      <w:marTop w:val="0"/>
      <w:marBottom w:val="0"/>
      <w:divBdr>
        <w:top w:val="none" w:sz="0" w:space="0" w:color="auto"/>
        <w:left w:val="none" w:sz="0" w:space="0" w:color="auto"/>
        <w:bottom w:val="none" w:sz="0" w:space="0" w:color="auto"/>
        <w:right w:val="none" w:sz="0" w:space="0" w:color="auto"/>
      </w:divBdr>
    </w:div>
    <w:div w:id="1666587903">
      <w:bodyDiv w:val="1"/>
      <w:marLeft w:val="0"/>
      <w:marRight w:val="0"/>
      <w:marTop w:val="0"/>
      <w:marBottom w:val="0"/>
      <w:divBdr>
        <w:top w:val="none" w:sz="0" w:space="0" w:color="auto"/>
        <w:left w:val="none" w:sz="0" w:space="0" w:color="auto"/>
        <w:bottom w:val="none" w:sz="0" w:space="0" w:color="auto"/>
        <w:right w:val="none" w:sz="0" w:space="0" w:color="auto"/>
      </w:divBdr>
    </w:div>
    <w:div w:id="1667587468">
      <w:bodyDiv w:val="1"/>
      <w:marLeft w:val="0"/>
      <w:marRight w:val="0"/>
      <w:marTop w:val="0"/>
      <w:marBottom w:val="0"/>
      <w:divBdr>
        <w:top w:val="none" w:sz="0" w:space="0" w:color="auto"/>
        <w:left w:val="none" w:sz="0" w:space="0" w:color="auto"/>
        <w:bottom w:val="none" w:sz="0" w:space="0" w:color="auto"/>
        <w:right w:val="none" w:sz="0" w:space="0" w:color="auto"/>
      </w:divBdr>
    </w:div>
    <w:div w:id="1673873234">
      <w:bodyDiv w:val="1"/>
      <w:marLeft w:val="0"/>
      <w:marRight w:val="0"/>
      <w:marTop w:val="0"/>
      <w:marBottom w:val="0"/>
      <w:divBdr>
        <w:top w:val="none" w:sz="0" w:space="0" w:color="auto"/>
        <w:left w:val="none" w:sz="0" w:space="0" w:color="auto"/>
        <w:bottom w:val="none" w:sz="0" w:space="0" w:color="auto"/>
        <w:right w:val="none" w:sz="0" w:space="0" w:color="auto"/>
      </w:divBdr>
    </w:div>
    <w:div w:id="1674527194">
      <w:bodyDiv w:val="1"/>
      <w:marLeft w:val="0"/>
      <w:marRight w:val="0"/>
      <w:marTop w:val="0"/>
      <w:marBottom w:val="0"/>
      <w:divBdr>
        <w:top w:val="none" w:sz="0" w:space="0" w:color="auto"/>
        <w:left w:val="none" w:sz="0" w:space="0" w:color="auto"/>
        <w:bottom w:val="none" w:sz="0" w:space="0" w:color="auto"/>
        <w:right w:val="none" w:sz="0" w:space="0" w:color="auto"/>
      </w:divBdr>
    </w:div>
    <w:div w:id="1682900611">
      <w:bodyDiv w:val="1"/>
      <w:marLeft w:val="0"/>
      <w:marRight w:val="0"/>
      <w:marTop w:val="0"/>
      <w:marBottom w:val="0"/>
      <w:divBdr>
        <w:top w:val="none" w:sz="0" w:space="0" w:color="auto"/>
        <w:left w:val="none" w:sz="0" w:space="0" w:color="auto"/>
        <w:bottom w:val="none" w:sz="0" w:space="0" w:color="auto"/>
        <w:right w:val="none" w:sz="0" w:space="0" w:color="auto"/>
      </w:divBdr>
    </w:div>
    <w:div w:id="1684548186">
      <w:bodyDiv w:val="1"/>
      <w:marLeft w:val="0"/>
      <w:marRight w:val="0"/>
      <w:marTop w:val="0"/>
      <w:marBottom w:val="0"/>
      <w:divBdr>
        <w:top w:val="none" w:sz="0" w:space="0" w:color="auto"/>
        <w:left w:val="none" w:sz="0" w:space="0" w:color="auto"/>
        <w:bottom w:val="none" w:sz="0" w:space="0" w:color="auto"/>
        <w:right w:val="none" w:sz="0" w:space="0" w:color="auto"/>
      </w:divBdr>
    </w:div>
    <w:div w:id="1685285531">
      <w:bodyDiv w:val="1"/>
      <w:marLeft w:val="0"/>
      <w:marRight w:val="0"/>
      <w:marTop w:val="0"/>
      <w:marBottom w:val="0"/>
      <w:divBdr>
        <w:top w:val="none" w:sz="0" w:space="0" w:color="auto"/>
        <w:left w:val="none" w:sz="0" w:space="0" w:color="auto"/>
        <w:bottom w:val="none" w:sz="0" w:space="0" w:color="auto"/>
        <w:right w:val="none" w:sz="0" w:space="0" w:color="auto"/>
      </w:divBdr>
    </w:div>
    <w:div w:id="1687051675">
      <w:bodyDiv w:val="1"/>
      <w:marLeft w:val="0"/>
      <w:marRight w:val="0"/>
      <w:marTop w:val="0"/>
      <w:marBottom w:val="0"/>
      <w:divBdr>
        <w:top w:val="none" w:sz="0" w:space="0" w:color="auto"/>
        <w:left w:val="none" w:sz="0" w:space="0" w:color="auto"/>
        <w:bottom w:val="none" w:sz="0" w:space="0" w:color="auto"/>
        <w:right w:val="none" w:sz="0" w:space="0" w:color="auto"/>
      </w:divBdr>
    </w:div>
    <w:div w:id="1693341912">
      <w:bodyDiv w:val="1"/>
      <w:marLeft w:val="0"/>
      <w:marRight w:val="0"/>
      <w:marTop w:val="0"/>
      <w:marBottom w:val="0"/>
      <w:divBdr>
        <w:top w:val="none" w:sz="0" w:space="0" w:color="auto"/>
        <w:left w:val="none" w:sz="0" w:space="0" w:color="auto"/>
        <w:bottom w:val="none" w:sz="0" w:space="0" w:color="auto"/>
        <w:right w:val="none" w:sz="0" w:space="0" w:color="auto"/>
      </w:divBdr>
    </w:div>
    <w:div w:id="1701011828">
      <w:bodyDiv w:val="1"/>
      <w:marLeft w:val="0"/>
      <w:marRight w:val="0"/>
      <w:marTop w:val="0"/>
      <w:marBottom w:val="0"/>
      <w:divBdr>
        <w:top w:val="none" w:sz="0" w:space="0" w:color="auto"/>
        <w:left w:val="none" w:sz="0" w:space="0" w:color="auto"/>
        <w:bottom w:val="none" w:sz="0" w:space="0" w:color="auto"/>
        <w:right w:val="none" w:sz="0" w:space="0" w:color="auto"/>
      </w:divBdr>
    </w:div>
    <w:div w:id="1709524338">
      <w:bodyDiv w:val="1"/>
      <w:marLeft w:val="0"/>
      <w:marRight w:val="0"/>
      <w:marTop w:val="0"/>
      <w:marBottom w:val="0"/>
      <w:divBdr>
        <w:top w:val="none" w:sz="0" w:space="0" w:color="auto"/>
        <w:left w:val="none" w:sz="0" w:space="0" w:color="auto"/>
        <w:bottom w:val="none" w:sz="0" w:space="0" w:color="auto"/>
        <w:right w:val="none" w:sz="0" w:space="0" w:color="auto"/>
      </w:divBdr>
    </w:div>
    <w:div w:id="1718047511">
      <w:bodyDiv w:val="1"/>
      <w:marLeft w:val="0"/>
      <w:marRight w:val="0"/>
      <w:marTop w:val="0"/>
      <w:marBottom w:val="0"/>
      <w:divBdr>
        <w:top w:val="none" w:sz="0" w:space="0" w:color="auto"/>
        <w:left w:val="none" w:sz="0" w:space="0" w:color="auto"/>
        <w:bottom w:val="none" w:sz="0" w:space="0" w:color="auto"/>
        <w:right w:val="none" w:sz="0" w:space="0" w:color="auto"/>
      </w:divBdr>
    </w:div>
    <w:div w:id="1718510468">
      <w:bodyDiv w:val="1"/>
      <w:marLeft w:val="0"/>
      <w:marRight w:val="0"/>
      <w:marTop w:val="0"/>
      <w:marBottom w:val="0"/>
      <w:divBdr>
        <w:top w:val="none" w:sz="0" w:space="0" w:color="auto"/>
        <w:left w:val="none" w:sz="0" w:space="0" w:color="auto"/>
        <w:bottom w:val="none" w:sz="0" w:space="0" w:color="auto"/>
        <w:right w:val="none" w:sz="0" w:space="0" w:color="auto"/>
      </w:divBdr>
    </w:div>
    <w:div w:id="1720131556">
      <w:bodyDiv w:val="1"/>
      <w:marLeft w:val="0"/>
      <w:marRight w:val="0"/>
      <w:marTop w:val="0"/>
      <w:marBottom w:val="0"/>
      <w:divBdr>
        <w:top w:val="none" w:sz="0" w:space="0" w:color="auto"/>
        <w:left w:val="none" w:sz="0" w:space="0" w:color="auto"/>
        <w:bottom w:val="none" w:sz="0" w:space="0" w:color="auto"/>
        <w:right w:val="none" w:sz="0" w:space="0" w:color="auto"/>
      </w:divBdr>
    </w:div>
    <w:div w:id="1720739539">
      <w:bodyDiv w:val="1"/>
      <w:marLeft w:val="0"/>
      <w:marRight w:val="0"/>
      <w:marTop w:val="0"/>
      <w:marBottom w:val="0"/>
      <w:divBdr>
        <w:top w:val="none" w:sz="0" w:space="0" w:color="auto"/>
        <w:left w:val="none" w:sz="0" w:space="0" w:color="auto"/>
        <w:bottom w:val="none" w:sz="0" w:space="0" w:color="auto"/>
        <w:right w:val="none" w:sz="0" w:space="0" w:color="auto"/>
      </w:divBdr>
    </w:div>
    <w:div w:id="1720742290">
      <w:bodyDiv w:val="1"/>
      <w:marLeft w:val="0"/>
      <w:marRight w:val="0"/>
      <w:marTop w:val="0"/>
      <w:marBottom w:val="0"/>
      <w:divBdr>
        <w:top w:val="none" w:sz="0" w:space="0" w:color="auto"/>
        <w:left w:val="none" w:sz="0" w:space="0" w:color="auto"/>
        <w:bottom w:val="none" w:sz="0" w:space="0" w:color="auto"/>
        <w:right w:val="none" w:sz="0" w:space="0" w:color="auto"/>
      </w:divBdr>
      <w:divsChild>
        <w:div w:id="2050759638">
          <w:marLeft w:val="0"/>
          <w:marRight w:val="0"/>
          <w:marTop w:val="0"/>
          <w:marBottom w:val="0"/>
          <w:divBdr>
            <w:top w:val="none" w:sz="0" w:space="0" w:color="auto"/>
            <w:left w:val="none" w:sz="0" w:space="0" w:color="auto"/>
            <w:bottom w:val="none" w:sz="0" w:space="0" w:color="auto"/>
            <w:right w:val="none" w:sz="0" w:space="0" w:color="auto"/>
          </w:divBdr>
        </w:div>
      </w:divsChild>
    </w:div>
    <w:div w:id="1722052160">
      <w:bodyDiv w:val="1"/>
      <w:marLeft w:val="0"/>
      <w:marRight w:val="0"/>
      <w:marTop w:val="0"/>
      <w:marBottom w:val="0"/>
      <w:divBdr>
        <w:top w:val="none" w:sz="0" w:space="0" w:color="auto"/>
        <w:left w:val="none" w:sz="0" w:space="0" w:color="auto"/>
        <w:bottom w:val="none" w:sz="0" w:space="0" w:color="auto"/>
        <w:right w:val="none" w:sz="0" w:space="0" w:color="auto"/>
      </w:divBdr>
    </w:div>
    <w:div w:id="1722289292">
      <w:bodyDiv w:val="1"/>
      <w:marLeft w:val="0"/>
      <w:marRight w:val="0"/>
      <w:marTop w:val="0"/>
      <w:marBottom w:val="0"/>
      <w:divBdr>
        <w:top w:val="none" w:sz="0" w:space="0" w:color="auto"/>
        <w:left w:val="none" w:sz="0" w:space="0" w:color="auto"/>
        <w:bottom w:val="none" w:sz="0" w:space="0" w:color="auto"/>
        <w:right w:val="none" w:sz="0" w:space="0" w:color="auto"/>
      </w:divBdr>
    </w:div>
    <w:div w:id="1722631845">
      <w:bodyDiv w:val="1"/>
      <w:marLeft w:val="0"/>
      <w:marRight w:val="0"/>
      <w:marTop w:val="0"/>
      <w:marBottom w:val="0"/>
      <w:divBdr>
        <w:top w:val="none" w:sz="0" w:space="0" w:color="auto"/>
        <w:left w:val="none" w:sz="0" w:space="0" w:color="auto"/>
        <w:bottom w:val="none" w:sz="0" w:space="0" w:color="auto"/>
        <w:right w:val="none" w:sz="0" w:space="0" w:color="auto"/>
      </w:divBdr>
    </w:div>
    <w:div w:id="1723556620">
      <w:bodyDiv w:val="1"/>
      <w:marLeft w:val="0"/>
      <w:marRight w:val="0"/>
      <w:marTop w:val="0"/>
      <w:marBottom w:val="0"/>
      <w:divBdr>
        <w:top w:val="none" w:sz="0" w:space="0" w:color="auto"/>
        <w:left w:val="none" w:sz="0" w:space="0" w:color="auto"/>
        <w:bottom w:val="none" w:sz="0" w:space="0" w:color="auto"/>
        <w:right w:val="none" w:sz="0" w:space="0" w:color="auto"/>
      </w:divBdr>
    </w:div>
    <w:div w:id="1729644641">
      <w:bodyDiv w:val="1"/>
      <w:marLeft w:val="0"/>
      <w:marRight w:val="0"/>
      <w:marTop w:val="0"/>
      <w:marBottom w:val="0"/>
      <w:divBdr>
        <w:top w:val="none" w:sz="0" w:space="0" w:color="auto"/>
        <w:left w:val="none" w:sz="0" w:space="0" w:color="auto"/>
        <w:bottom w:val="none" w:sz="0" w:space="0" w:color="auto"/>
        <w:right w:val="none" w:sz="0" w:space="0" w:color="auto"/>
      </w:divBdr>
    </w:div>
    <w:div w:id="1731416837">
      <w:bodyDiv w:val="1"/>
      <w:marLeft w:val="0"/>
      <w:marRight w:val="0"/>
      <w:marTop w:val="0"/>
      <w:marBottom w:val="0"/>
      <w:divBdr>
        <w:top w:val="none" w:sz="0" w:space="0" w:color="auto"/>
        <w:left w:val="none" w:sz="0" w:space="0" w:color="auto"/>
        <w:bottom w:val="none" w:sz="0" w:space="0" w:color="auto"/>
        <w:right w:val="none" w:sz="0" w:space="0" w:color="auto"/>
      </w:divBdr>
    </w:div>
    <w:div w:id="1732575262">
      <w:bodyDiv w:val="1"/>
      <w:marLeft w:val="0"/>
      <w:marRight w:val="0"/>
      <w:marTop w:val="0"/>
      <w:marBottom w:val="0"/>
      <w:divBdr>
        <w:top w:val="none" w:sz="0" w:space="0" w:color="auto"/>
        <w:left w:val="none" w:sz="0" w:space="0" w:color="auto"/>
        <w:bottom w:val="none" w:sz="0" w:space="0" w:color="auto"/>
        <w:right w:val="none" w:sz="0" w:space="0" w:color="auto"/>
      </w:divBdr>
    </w:div>
    <w:div w:id="1733694791">
      <w:bodyDiv w:val="1"/>
      <w:marLeft w:val="0"/>
      <w:marRight w:val="0"/>
      <w:marTop w:val="0"/>
      <w:marBottom w:val="0"/>
      <w:divBdr>
        <w:top w:val="none" w:sz="0" w:space="0" w:color="auto"/>
        <w:left w:val="none" w:sz="0" w:space="0" w:color="auto"/>
        <w:bottom w:val="none" w:sz="0" w:space="0" w:color="auto"/>
        <w:right w:val="none" w:sz="0" w:space="0" w:color="auto"/>
      </w:divBdr>
    </w:div>
    <w:div w:id="1748722859">
      <w:bodyDiv w:val="1"/>
      <w:marLeft w:val="0"/>
      <w:marRight w:val="0"/>
      <w:marTop w:val="0"/>
      <w:marBottom w:val="0"/>
      <w:divBdr>
        <w:top w:val="none" w:sz="0" w:space="0" w:color="auto"/>
        <w:left w:val="none" w:sz="0" w:space="0" w:color="auto"/>
        <w:bottom w:val="none" w:sz="0" w:space="0" w:color="auto"/>
        <w:right w:val="none" w:sz="0" w:space="0" w:color="auto"/>
      </w:divBdr>
    </w:div>
    <w:div w:id="1750955757">
      <w:bodyDiv w:val="1"/>
      <w:marLeft w:val="0"/>
      <w:marRight w:val="0"/>
      <w:marTop w:val="0"/>
      <w:marBottom w:val="0"/>
      <w:divBdr>
        <w:top w:val="none" w:sz="0" w:space="0" w:color="auto"/>
        <w:left w:val="none" w:sz="0" w:space="0" w:color="auto"/>
        <w:bottom w:val="none" w:sz="0" w:space="0" w:color="auto"/>
        <w:right w:val="none" w:sz="0" w:space="0" w:color="auto"/>
      </w:divBdr>
    </w:div>
    <w:div w:id="1755205660">
      <w:bodyDiv w:val="1"/>
      <w:marLeft w:val="0"/>
      <w:marRight w:val="0"/>
      <w:marTop w:val="0"/>
      <w:marBottom w:val="0"/>
      <w:divBdr>
        <w:top w:val="none" w:sz="0" w:space="0" w:color="auto"/>
        <w:left w:val="none" w:sz="0" w:space="0" w:color="auto"/>
        <w:bottom w:val="none" w:sz="0" w:space="0" w:color="auto"/>
        <w:right w:val="none" w:sz="0" w:space="0" w:color="auto"/>
      </w:divBdr>
    </w:div>
    <w:div w:id="1772386451">
      <w:bodyDiv w:val="1"/>
      <w:marLeft w:val="0"/>
      <w:marRight w:val="0"/>
      <w:marTop w:val="0"/>
      <w:marBottom w:val="0"/>
      <w:divBdr>
        <w:top w:val="none" w:sz="0" w:space="0" w:color="auto"/>
        <w:left w:val="none" w:sz="0" w:space="0" w:color="auto"/>
        <w:bottom w:val="none" w:sz="0" w:space="0" w:color="auto"/>
        <w:right w:val="none" w:sz="0" w:space="0" w:color="auto"/>
      </w:divBdr>
    </w:div>
    <w:div w:id="1775049828">
      <w:bodyDiv w:val="1"/>
      <w:marLeft w:val="0"/>
      <w:marRight w:val="0"/>
      <w:marTop w:val="0"/>
      <w:marBottom w:val="0"/>
      <w:divBdr>
        <w:top w:val="none" w:sz="0" w:space="0" w:color="auto"/>
        <w:left w:val="none" w:sz="0" w:space="0" w:color="auto"/>
        <w:bottom w:val="none" w:sz="0" w:space="0" w:color="auto"/>
        <w:right w:val="none" w:sz="0" w:space="0" w:color="auto"/>
      </w:divBdr>
    </w:div>
    <w:div w:id="1775322102">
      <w:bodyDiv w:val="1"/>
      <w:marLeft w:val="0"/>
      <w:marRight w:val="0"/>
      <w:marTop w:val="0"/>
      <w:marBottom w:val="0"/>
      <w:divBdr>
        <w:top w:val="none" w:sz="0" w:space="0" w:color="auto"/>
        <w:left w:val="none" w:sz="0" w:space="0" w:color="auto"/>
        <w:bottom w:val="none" w:sz="0" w:space="0" w:color="auto"/>
        <w:right w:val="none" w:sz="0" w:space="0" w:color="auto"/>
      </w:divBdr>
    </w:div>
    <w:div w:id="1777288456">
      <w:bodyDiv w:val="1"/>
      <w:marLeft w:val="0"/>
      <w:marRight w:val="0"/>
      <w:marTop w:val="0"/>
      <w:marBottom w:val="0"/>
      <w:divBdr>
        <w:top w:val="none" w:sz="0" w:space="0" w:color="auto"/>
        <w:left w:val="none" w:sz="0" w:space="0" w:color="auto"/>
        <w:bottom w:val="none" w:sz="0" w:space="0" w:color="auto"/>
        <w:right w:val="none" w:sz="0" w:space="0" w:color="auto"/>
      </w:divBdr>
    </w:div>
    <w:div w:id="1789422726">
      <w:bodyDiv w:val="1"/>
      <w:marLeft w:val="0"/>
      <w:marRight w:val="0"/>
      <w:marTop w:val="0"/>
      <w:marBottom w:val="0"/>
      <w:divBdr>
        <w:top w:val="none" w:sz="0" w:space="0" w:color="auto"/>
        <w:left w:val="none" w:sz="0" w:space="0" w:color="auto"/>
        <w:bottom w:val="none" w:sz="0" w:space="0" w:color="auto"/>
        <w:right w:val="none" w:sz="0" w:space="0" w:color="auto"/>
      </w:divBdr>
    </w:div>
    <w:div w:id="1789932007">
      <w:bodyDiv w:val="1"/>
      <w:marLeft w:val="0"/>
      <w:marRight w:val="0"/>
      <w:marTop w:val="0"/>
      <w:marBottom w:val="0"/>
      <w:divBdr>
        <w:top w:val="none" w:sz="0" w:space="0" w:color="auto"/>
        <w:left w:val="none" w:sz="0" w:space="0" w:color="auto"/>
        <w:bottom w:val="none" w:sz="0" w:space="0" w:color="auto"/>
        <w:right w:val="none" w:sz="0" w:space="0" w:color="auto"/>
      </w:divBdr>
    </w:div>
    <w:div w:id="1791972078">
      <w:bodyDiv w:val="1"/>
      <w:marLeft w:val="0"/>
      <w:marRight w:val="0"/>
      <w:marTop w:val="0"/>
      <w:marBottom w:val="0"/>
      <w:divBdr>
        <w:top w:val="none" w:sz="0" w:space="0" w:color="auto"/>
        <w:left w:val="none" w:sz="0" w:space="0" w:color="auto"/>
        <w:bottom w:val="none" w:sz="0" w:space="0" w:color="auto"/>
        <w:right w:val="none" w:sz="0" w:space="0" w:color="auto"/>
      </w:divBdr>
    </w:div>
    <w:div w:id="1797795620">
      <w:bodyDiv w:val="1"/>
      <w:marLeft w:val="0"/>
      <w:marRight w:val="0"/>
      <w:marTop w:val="0"/>
      <w:marBottom w:val="0"/>
      <w:divBdr>
        <w:top w:val="none" w:sz="0" w:space="0" w:color="auto"/>
        <w:left w:val="none" w:sz="0" w:space="0" w:color="auto"/>
        <w:bottom w:val="none" w:sz="0" w:space="0" w:color="auto"/>
        <w:right w:val="none" w:sz="0" w:space="0" w:color="auto"/>
      </w:divBdr>
    </w:div>
    <w:div w:id="1799566166">
      <w:bodyDiv w:val="1"/>
      <w:marLeft w:val="0"/>
      <w:marRight w:val="0"/>
      <w:marTop w:val="0"/>
      <w:marBottom w:val="0"/>
      <w:divBdr>
        <w:top w:val="none" w:sz="0" w:space="0" w:color="auto"/>
        <w:left w:val="none" w:sz="0" w:space="0" w:color="auto"/>
        <w:bottom w:val="none" w:sz="0" w:space="0" w:color="auto"/>
        <w:right w:val="none" w:sz="0" w:space="0" w:color="auto"/>
      </w:divBdr>
    </w:div>
    <w:div w:id="1802574571">
      <w:bodyDiv w:val="1"/>
      <w:marLeft w:val="0"/>
      <w:marRight w:val="0"/>
      <w:marTop w:val="0"/>
      <w:marBottom w:val="0"/>
      <w:divBdr>
        <w:top w:val="none" w:sz="0" w:space="0" w:color="auto"/>
        <w:left w:val="none" w:sz="0" w:space="0" w:color="auto"/>
        <w:bottom w:val="none" w:sz="0" w:space="0" w:color="auto"/>
        <w:right w:val="none" w:sz="0" w:space="0" w:color="auto"/>
      </w:divBdr>
    </w:div>
    <w:div w:id="1803033923">
      <w:bodyDiv w:val="1"/>
      <w:marLeft w:val="0"/>
      <w:marRight w:val="0"/>
      <w:marTop w:val="0"/>
      <w:marBottom w:val="0"/>
      <w:divBdr>
        <w:top w:val="none" w:sz="0" w:space="0" w:color="auto"/>
        <w:left w:val="none" w:sz="0" w:space="0" w:color="auto"/>
        <w:bottom w:val="none" w:sz="0" w:space="0" w:color="auto"/>
        <w:right w:val="none" w:sz="0" w:space="0" w:color="auto"/>
      </w:divBdr>
    </w:div>
    <w:div w:id="1805930035">
      <w:bodyDiv w:val="1"/>
      <w:marLeft w:val="0"/>
      <w:marRight w:val="0"/>
      <w:marTop w:val="0"/>
      <w:marBottom w:val="0"/>
      <w:divBdr>
        <w:top w:val="none" w:sz="0" w:space="0" w:color="auto"/>
        <w:left w:val="none" w:sz="0" w:space="0" w:color="auto"/>
        <w:bottom w:val="none" w:sz="0" w:space="0" w:color="auto"/>
        <w:right w:val="none" w:sz="0" w:space="0" w:color="auto"/>
      </w:divBdr>
    </w:div>
    <w:div w:id="1808618434">
      <w:bodyDiv w:val="1"/>
      <w:marLeft w:val="0"/>
      <w:marRight w:val="0"/>
      <w:marTop w:val="0"/>
      <w:marBottom w:val="0"/>
      <w:divBdr>
        <w:top w:val="none" w:sz="0" w:space="0" w:color="auto"/>
        <w:left w:val="none" w:sz="0" w:space="0" w:color="auto"/>
        <w:bottom w:val="none" w:sz="0" w:space="0" w:color="auto"/>
        <w:right w:val="none" w:sz="0" w:space="0" w:color="auto"/>
      </w:divBdr>
    </w:div>
    <w:div w:id="1814712504">
      <w:bodyDiv w:val="1"/>
      <w:marLeft w:val="0"/>
      <w:marRight w:val="0"/>
      <w:marTop w:val="0"/>
      <w:marBottom w:val="0"/>
      <w:divBdr>
        <w:top w:val="none" w:sz="0" w:space="0" w:color="auto"/>
        <w:left w:val="none" w:sz="0" w:space="0" w:color="auto"/>
        <w:bottom w:val="none" w:sz="0" w:space="0" w:color="auto"/>
        <w:right w:val="none" w:sz="0" w:space="0" w:color="auto"/>
      </w:divBdr>
    </w:div>
    <w:div w:id="1816142031">
      <w:bodyDiv w:val="1"/>
      <w:marLeft w:val="0"/>
      <w:marRight w:val="0"/>
      <w:marTop w:val="0"/>
      <w:marBottom w:val="0"/>
      <w:divBdr>
        <w:top w:val="none" w:sz="0" w:space="0" w:color="auto"/>
        <w:left w:val="none" w:sz="0" w:space="0" w:color="auto"/>
        <w:bottom w:val="none" w:sz="0" w:space="0" w:color="auto"/>
        <w:right w:val="none" w:sz="0" w:space="0" w:color="auto"/>
      </w:divBdr>
    </w:div>
    <w:div w:id="1818060715">
      <w:bodyDiv w:val="1"/>
      <w:marLeft w:val="0"/>
      <w:marRight w:val="0"/>
      <w:marTop w:val="0"/>
      <w:marBottom w:val="0"/>
      <w:divBdr>
        <w:top w:val="none" w:sz="0" w:space="0" w:color="auto"/>
        <w:left w:val="none" w:sz="0" w:space="0" w:color="auto"/>
        <w:bottom w:val="none" w:sz="0" w:space="0" w:color="auto"/>
        <w:right w:val="none" w:sz="0" w:space="0" w:color="auto"/>
      </w:divBdr>
    </w:div>
    <w:div w:id="1820923536">
      <w:bodyDiv w:val="1"/>
      <w:marLeft w:val="0"/>
      <w:marRight w:val="0"/>
      <w:marTop w:val="0"/>
      <w:marBottom w:val="0"/>
      <w:divBdr>
        <w:top w:val="none" w:sz="0" w:space="0" w:color="auto"/>
        <w:left w:val="none" w:sz="0" w:space="0" w:color="auto"/>
        <w:bottom w:val="none" w:sz="0" w:space="0" w:color="auto"/>
        <w:right w:val="none" w:sz="0" w:space="0" w:color="auto"/>
      </w:divBdr>
    </w:div>
    <w:div w:id="1821728537">
      <w:bodyDiv w:val="1"/>
      <w:marLeft w:val="0"/>
      <w:marRight w:val="0"/>
      <w:marTop w:val="0"/>
      <w:marBottom w:val="0"/>
      <w:divBdr>
        <w:top w:val="none" w:sz="0" w:space="0" w:color="auto"/>
        <w:left w:val="none" w:sz="0" w:space="0" w:color="auto"/>
        <w:bottom w:val="none" w:sz="0" w:space="0" w:color="auto"/>
        <w:right w:val="none" w:sz="0" w:space="0" w:color="auto"/>
      </w:divBdr>
    </w:div>
    <w:div w:id="1824656502">
      <w:bodyDiv w:val="1"/>
      <w:marLeft w:val="0"/>
      <w:marRight w:val="0"/>
      <w:marTop w:val="0"/>
      <w:marBottom w:val="0"/>
      <w:divBdr>
        <w:top w:val="none" w:sz="0" w:space="0" w:color="auto"/>
        <w:left w:val="none" w:sz="0" w:space="0" w:color="auto"/>
        <w:bottom w:val="none" w:sz="0" w:space="0" w:color="auto"/>
        <w:right w:val="none" w:sz="0" w:space="0" w:color="auto"/>
      </w:divBdr>
    </w:div>
    <w:div w:id="1825927013">
      <w:bodyDiv w:val="1"/>
      <w:marLeft w:val="0"/>
      <w:marRight w:val="0"/>
      <w:marTop w:val="0"/>
      <w:marBottom w:val="0"/>
      <w:divBdr>
        <w:top w:val="none" w:sz="0" w:space="0" w:color="auto"/>
        <w:left w:val="none" w:sz="0" w:space="0" w:color="auto"/>
        <w:bottom w:val="none" w:sz="0" w:space="0" w:color="auto"/>
        <w:right w:val="none" w:sz="0" w:space="0" w:color="auto"/>
      </w:divBdr>
    </w:div>
    <w:div w:id="1828932885">
      <w:bodyDiv w:val="1"/>
      <w:marLeft w:val="0"/>
      <w:marRight w:val="0"/>
      <w:marTop w:val="0"/>
      <w:marBottom w:val="0"/>
      <w:divBdr>
        <w:top w:val="none" w:sz="0" w:space="0" w:color="auto"/>
        <w:left w:val="none" w:sz="0" w:space="0" w:color="auto"/>
        <w:bottom w:val="none" w:sz="0" w:space="0" w:color="auto"/>
        <w:right w:val="none" w:sz="0" w:space="0" w:color="auto"/>
      </w:divBdr>
    </w:div>
    <w:div w:id="1834449901">
      <w:bodyDiv w:val="1"/>
      <w:marLeft w:val="0"/>
      <w:marRight w:val="0"/>
      <w:marTop w:val="0"/>
      <w:marBottom w:val="0"/>
      <w:divBdr>
        <w:top w:val="none" w:sz="0" w:space="0" w:color="auto"/>
        <w:left w:val="none" w:sz="0" w:space="0" w:color="auto"/>
        <w:bottom w:val="none" w:sz="0" w:space="0" w:color="auto"/>
        <w:right w:val="none" w:sz="0" w:space="0" w:color="auto"/>
      </w:divBdr>
    </w:div>
    <w:div w:id="1837303424">
      <w:bodyDiv w:val="1"/>
      <w:marLeft w:val="0"/>
      <w:marRight w:val="0"/>
      <w:marTop w:val="0"/>
      <w:marBottom w:val="0"/>
      <w:divBdr>
        <w:top w:val="none" w:sz="0" w:space="0" w:color="auto"/>
        <w:left w:val="none" w:sz="0" w:space="0" w:color="auto"/>
        <w:bottom w:val="none" w:sz="0" w:space="0" w:color="auto"/>
        <w:right w:val="none" w:sz="0" w:space="0" w:color="auto"/>
      </w:divBdr>
    </w:div>
    <w:div w:id="1839147588">
      <w:bodyDiv w:val="1"/>
      <w:marLeft w:val="0"/>
      <w:marRight w:val="0"/>
      <w:marTop w:val="0"/>
      <w:marBottom w:val="0"/>
      <w:divBdr>
        <w:top w:val="none" w:sz="0" w:space="0" w:color="auto"/>
        <w:left w:val="none" w:sz="0" w:space="0" w:color="auto"/>
        <w:bottom w:val="none" w:sz="0" w:space="0" w:color="auto"/>
        <w:right w:val="none" w:sz="0" w:space="0" w:color="auto"/>
      </w:divBdr>
    </w:div>
    <w:div w:id="1841118721">
      <w:bodyDiv w:val="1"/>
      <w:marLeft w:val="0"/>
      <w:marRight w:val="0"/>
      <w:marTop w:val="0"/>
      <w:marBottom w:val="0"/>
      <w:divBdr>
        <w:top w:val="none" w:sz="0" w:space="0" w:color="auto"/>
        <w:left w:val="none" w:sz="0" w:space="0" w:color="auto"/>
        <w:bottom w:val="none" w:sz="0" w:space="0" w:color="auto"/>
        <w:right w:val="none" w:sz="0" w:space="0" w:color="auto"/>
      </w:divBdr>
    </w:div>
    <w:div w:id="1845052859">
      <w:bodyDiv w:val="1"/>
      <w:marLeft w:val="0"/>
      <w:marRight w:val="0"/>
      <w:marTop w:val="0"/>
      <w:marBottom w:val="0"/>
      <w:divBdr>
        <w:top w:val="none" w:sz="0" w:space="0" w:color="auto"/>
        <w:left w:val="none" w:sz="0" w:space="0" w:color="auto"/>
        <w:bottom w:val="none" w:sz="0" w:space="0" w:color="auto"/>
        <w:right w:val="none" w:sz="0" w:space="0" w:color="auto"/>
      </w:divBdr>
    </w:div>
    <w:div w:id="1849786310">
      <w:bodyDiv w:val="1"/>
      <w:marLeft w:val="0"/>
      <w:marRight w:val="0"/>
      <w:marTop w:val="0"/>
      <w:marBottom w:val="0"/>
      <w:divBdr>
        <w:top w:val="none" w:sz="0" w:space="0" w:color="auto"/>
        <w:left w:val="none" w:sz="0" w:space="0" w:color="auto"/>
        <w:bottom w:val="none" w:sz="0" w:space="0" w:color="auto"/>
        <w:right w:val="none" w:sz="0" w:space="0" w:color="auto"/>
      </w:divBdr>
    </w:div>
    <w:div w:id="1855806438">
      <w:bodyDiv w:val="1"/>
      <w:marLeft w:val="0"/>
      <w:marRight w:val="0"/>
      <w:marTop w:val="0"/>
      <w:marBottom w:val="0"/>
      <w:divBdr>
        <w:top w:val="none" w:sz="0" w:space="0" w:color="auto"/>
        <w:left w:val="none" w:sz="0" w:space="0" w:color="auto"/>
        <w:bottom w:val="none" w:sz="0" w:space="0" w:color="auto"/>
        <w:right w:val="none" w:sz="0" w:space="0" w:color="auto"/>
      </w:divBdr>
    </w:div>
    <w:div w:id="1857424226">
      <w:bodyDiv w:val="1"/>
      <w:marLeft w:val="0"/>
      <w:marRight w:val="0"/>
      <w:marTop w:val="0"/>
      <w:marBottom w:val="0"/>
      <w:divBdr>
        <w:top w:val="none" w:sz="0" w:space="0" w:color="auto"/>
        <w:left w:val="none" w:sz="0" w:space="0" w:color="auto"/>
        <w:bottom w:val="none" w:sz="0" w:space="0" w:color="auto"/>
        <w:right w:val="none" w:sz="0" w:space="0" w:color="auto"/>
      </w:divBdr>
    </w:div>
    <w:div w:id="1861163401">
      <w:bodyDiv w:val="1"/>
      <w:marLeft w:val="0"/>
      <w:marRight w:val="0"/>
      <w:marTop w:val="0"/>
      <w:marBottom w:val="0"/>
      <w:divBdr>
        <w:top w:val="none" w:sz="0" w:space="0" w:color="auto"/>
        <w:left w:val="none" w:sz="0" w:space="0" w:color="auto"/>
        <w:bottom w:val="none" w:sz="0" w:space="0" w:color="auto"/>
        <w:right w:val="none" w:sz="0" w:space="0" w:color="auto"/>
      </w:divBdr>
    </w:div>
    <w:div w:id="1861236560">
      <w:bodyDiv w:val="1"/>
      <w:marLeft w:val="0"/>
      <w:marRight w:val="0"/>
      <w:marTop w:val="0"/>
      <w:marBottom w:val="0"/>
      <w:divBdr>
        <w:top w:val="none" w:sz="0" w:space="0" w:color="auto"/>
        <w:left w:val="none" w:sz="0" w:space="0" w:color="auto"/>
        <w:bottom w:val="none" w:sz="0" w:space="0" w:color="auto"/>
        <w:right w:val="none" w:sz="0" w:space="0" w:color="auto"/>
      </w:divBdr>
    </w:div>
    <w:div w:id="1865636072">
      <w:bodyDiv w:val="1"/>
      <w:marLeft w:val="0"/>
      <w:marRight w:val="0"/>
      <w:marTop w:val="0"/>
      <w:marBottom w:val="0"/>
      <w:divBdr>
        <w:top w:val="none" w:sz="0" w:space="0" w:color="auto"/>
        <w:left w:val="none" w:sz="0" w:space="0" w:color="auto"/>
        <w:bottom w:val="none" w:sz="0" w:space="0" w:color="auto"/>
        <w:right w:val="none" w:sz="0" w:space="0" w:color="auto"/>
      </w:divBdr>
    </w:div>
    <w:div w:id="1866674995">
      <w:bodyDiv w:val="1"/>
      <w:marLeft w:val="0"/>
      <w:marRight w:val="0"/>
      <w:marTop w:val="0"/>
      <w:marBottom w:val="0"/>
      <w:divBdr>
        <w:top w:val="none" w:sz="0" w:space="0" w:color="auto"/>
        <w:left w:val="none" w:sz="0" w:space="0" w:color="auto"/>
        <w:bottom w:val="none" w:sz="0" w:space="0" w:color="auto"/>
        <w:right w:val="none" w:sz="0" w:space="0" w:color="auto"/>
      </w:divBdr>
    </w:div>
    <w:div w:id="1866822232">
      <w:bodyDiv w:val="1"/>
      <w:marLeft w:val="0"/>
      <w:marRight w:val="0"/>
      <w:marTop w:val="0"/>
      <w:marBottom w:val="0"/>
      <w:divBdr>
        <w:top w:val="none" w:sz="0" w:space="0" w:color="auto"/>
        <w:left w:val="none" w:sz="0" w:space="0" w:color="auto"/>
        <w:bottom w:val="none" w:sz="0" w:space="0" w:color="auto"/>
        <w:right w:val="none" w:sz="0" w:space="0" w:color="auto"/>
      </w:divBdr>
    </w:div>
    <w:div w:id="1871913900">
      <w:bodyDiv w:val="1"/>
      <w:marLeft w:val="0"/>
      <w:marRight w:val="0"/>
      <w:marTop w:val="0"/>
      <w:marBottom w:val="0"/>
      <w:divBdr>
        <w:top w:val="none" w:sz="0" w:space="0" w:color="auto"/>
        <w:left w:val="none" w:sz="0" w:space="0" w:color="auto"/>
        <w:bottom w:val="none" w:sz="0" w:space="0" w:color="auto"/>
        <w:right w:val="none" w:sz="0" w:space="0" w:color="auto"/>
      </w:divBdr>
    </w:div>
    <w:div w:id="1874345244">
      <w:bodyDiv w:val="1"/>
      <w:marLeft w:val="0"/>
      <w:marRight w:val="0"/>
      <w:marTop w:val="0"/>
      <w:marBottom w:val="0"/>
      <w:divBdr>
        <w:top w:val="none" w:sz="0" w:space="0" w:color="auto"/>
        <w:left w:val="none" w:sz="0" w:space="0" w:color="auto"/>
        <w:bottom w:val="none" w:sz="0" w:space="0" w:color="auto"/>
        <w:right w:val="none" w:sz="0" w:space="0" w:color="auto"/>
      </w:divBdr>
    </w:div>
    <w:div w:id="1876498440">
      <w:bodyDiv w:val="1"/>
      <w:marLeft w:val="0"/>
      <w:marRight w:val="0"/>
      <w:marTop w:val="0"/>
      <w:marBottom w:val="0"/>
      <w:divBdr>
        <w:top w:val="none" w:sz="0" w:space="0" w:color="auto"/>
        <w:left w:val="none" w:sz="0" w:space="0" w:color="auto"/>
        <w:bottom w:val="none" w:sz="0" w:space="0" w:color="auto"/>
        <w:right w:val="none" w:sz="0" w:space="0" w:color="auto"/>
      </w:divBdr>
    </w:div>
    <w:div w:id="1877230425">
      <w:bodyDiv w:val="1"/>
      <w:marLeft w:val="0"/>
      <w:marRight w:val="0"/>
      <w:marTop w:val="0"/>
      <w:marBottom w:val="0"/>
      <w:divBdr>
        <w:top w:val="none" w:sz="0" w:space="0" w:color="auto"/>
        <w:left w:val="none" w:sz="0" w:space="0" w:color="auto"/>
        <w:bottom w:val="none" w:sz="0" w:space="0" w:color="auto"/>
        <w:right w:val="none" w:sz="0" w:space="0" w:color="auto"/>
      </w:divBdr>
    </w:div>
    <w:div w:id="1877965917">
      <w:bodyDiv w:val="1"/>
      <w:marLeft w:val="0"/>
      <w:marRight w:val="0"/>
      <w:marTop w:val="0"/>
      <w:marBottom w:val="0"/>
      <w:divBdr>
        <w:top w:val="none" w:sz="0" w:space="0" w:color="auto"/>
        <w:left w:val="none" w:sz="0" w:space="0" w:color="auto"/>
        <w:bottom w:val="none" w:sz="0" w:space="0" w:color="auto"/>
        <w:right w:val="none" w:sz="0" w:space="0" w:color="auto"/>
      </w:divBdr>
    </w:div>
    <w:div w:id="1878347203">
      <w:bodyDiv w:val="1"/>
      <w:marLeft w:val="0"/>
      <w:marRight w:val="0"/>
      <w:marTop w:val="0"/>
      <w:marBottom w:val="0"/>
      <w:divBdr>
        <w:top w:val="none" w:sz="0" w:space="0" w:color="auto"/>
        <w:left w:val="none" w:sz="0" w:space="0" w:color="auto"/>
        <w:bottom w:val="none" w:sz="0" w:space="0" w:color="auto"/>
        <w:right w:val="none" w:sz="0" w:space="0" w:color="auto"/>
      </w:divBdr>
    </w:div>
    <w:div w:id="1882397680">
      <w:bodyDiv w:val="1"/>
      <w:marLeft w:val="0"/>
      <w:marRight w:val="0"/>
      <w:marTop w:val="0"/>
      <w:marBottom w:val="0"/>
      <w:divBdr>
        <w:top w:val="none" w:sz="0" w:space="0" w:color="auto"/>
        <w:left w:val="none" w:sz="0" w:space="0" w:color="auto"/>
        <w:bottom w:val="none" w:sz="0" w:space="0" w:color="auto"/>
        <w:right w:val="none" w:sz="0" w:space="0" w:color="auto"/>
      </w:divBdr>
    </w:div>
    <w:div w:id="1890528282">
      <w:bodyDiv w:val="1"/>
      <w:marLeft w:val="0"/>
      <w:marRight w:val="0"/>
      <w:marTop w:val="0"/>
      <w:marBottom w:val="0"/>
      <w:divBdr>
        <w:top w:val="none" w:sz="0" w:space="0" w:color="auto"/>
        <w:left w:val="none" w:sz="0" w:space="0" w:color="auto"/>
        <w:bottom w:val="none" w:sz="0" w:space="0" w:color="auto"/>
        <w:right w:val="none" w:sz="0" w:space="0" w:color="auto"/>
      </w:divBdr>
    </w:div>
    <w:div w:id="1898324032">
      <w:bodyDiv w:val="1"/>
      <w:marLeft w:val="0"/>
      <w:marRight w:val="0"/>
      <w:marTop w:val="0"/>
      <w:marBottom w:val="0"/>
      <w:divBdr>
        <w:top w:val="none" w:sz="0" w:space="0" w:color="auto"/>
        <w:left w:val="none" w:sz="0" w:space="0" w:color="auto"/>
        <w:bottom w:val="none" w:sz="0" w:space="0" w:color="auto"/>
        <w:right w:val="none" w:sz="0" w:space="0" w:color="auto"/>
      </w:divBdr>
    </w:div>
    <w:div w:id="1900746037">
      <w:bodyDiv w:val="1"/>
      <w:marLeft w:val="0"/>
      <w:marRight w:val="0"/>
      <w:marTop w:val="0"/>
      <w:marBottom w:val="0"/>
      <w:divBdr>
        <w:top w:val="none" w:sz="0" w:space="0" w:color="auto"/>
        <w:left w:val="none" w:sz="0" w:space="0" w:color="auto"/>
        <w:bottom w:val="none" w:sz="0" w:space="0" w:color="auto"/>
        <w:right w:val="none" w:sz="0" w:space="0" w:color="auto"/>
      </w:divBdr>
    </w:div>
    <w:div w:id="1900819757">
      <w:bodyDiv w:val="1"/>
      <w:marLeft w:val="0"/>
      <w:marRight w:val="0"/>
      <w:marTop w:val="0"/>
      <w:marBottom w:val="0"/>
      <w:divBdr>
        <w:top w:val="none" w:sz="0" w:space="0" w:color="auto"/>
        <w:left w:val="none" w:sz="0" w:space="0" w:color="auto"/>
        <w:bottom w:val="none" w:sz="0" w:space="0" w:color="auto"/>
        <w:right w:val="none" w:sz="0" w:space="0" w:color="auto"/>
      </w:divBdr>
    </w:div>
    <w:div w:id="1901285520">
      <w:bodyDiv w:val="1"/>
      <w:marLeft w:val="0"/>
      <w:marRight w:val="0"/>
      <w:marTop w:val="0"/>
      <w:marBottom w:val="0"/>
      <w:divBdr>
        <w:top w:val="none" w:sz="0" w:space="0" w:color="auto"/>
        <w:left w:val="none" w:sz="0" w:space="0" w:color="auto"/>
        <w:bottom w:val="none" w:sz="0" w:space="0" w:color="auto"/>
        <w:right w:val="none" w:sz="0" w:space="0" w:color="auto"/>
      </w:divBdr>
    </w:div>
    <w:div w:id="1902593203">
      <w:bodyDiv w:val="1"/>
      <w:marLeft w:val="0"/>
      <w:marRight w:val="0"/>
      <w:marTop w:val="0"/>
      <w:marBottom w:val="0"/>
      <w:divBdr>
        <w:top w:val="none" w:sz="0" w:space="0" w:color="auto"/>
        <w:left w:val="none" w:sz="0" w:space="0" w:color="auto"/>
        <w:bottom w:val="none" w:sz="0" w:space="0" w:color="auto"/>
        <w:right w:val="none" w:sz="0" w:space="0" w:color="auto"/>
      </w:divBdr>
    </w:div>
    <w:div w:id="1906186441">
      <w:bodyDiv w:val="1"/>
      <w:marLeft w:val="0"/>
      <w:marRight w:val="0"/>
      <w:marTop w:val="0"/>
      <w:marBottom w:val="0"/>
      <w:divBdr>
        <w:top w:val="none" w:sz="0" w:space="0" w:color="auto"/>
        <w:left w:val="none" w:sz="0" w:space="0" w:color="auto"/>
        <w:bottom w:val="none" w:sz="0" w:space="0" w:color="auto"/>
        <w:right w:val="none" w:sz="0" w:space="0" w:color="auto"/>
      </w:divBdr>
    </w:div>
    <w:div w:id="1908374108">
      <w:bodyDiv w:val="1"/>
      <w:marLeft w:val="0"/>
      <w:marRight w:val="0"/>
      <w:marTop w:val="0"/>
      <w:marBottom w:val="0"/>
      <w:divBdr>
        <w:top w:val="none" w:sz="0" w:space="0" w:color="auto"/>
        <w:left w:val="none" w:sz="0" w:space="0" w:color="auto"/>
        <w:bottom w:val="none" w:sz="0" w:space="0" w:color="auto"/>
        <w:right w:val="none" w:sz="0" w:space="0" w:color="auto"/>
      </w:divBdr>
    </w:div>
    <w:div w:id="1918174071">
      <w:bodyDiv w:val="1"/>
      <w:marLeft w:val="0"/>
      <w:marRight w:val="0"/>
      <w:marTop w:val="0"/>
      <w:marBottom w:val="0"/>
      <w:divBdr>
        <w:top w:val="none" w:sz="0" w:space="0" w:color="auto"/>
        <w:left w:val="none" w:sz="0" w:space="0" w:color="auto"/>
        <w:bottom w:val="none" w:sz="0" w:space="0" w:color="auto"/>
        <w:right w:val="none" w:sz="0" w:space="0" w:color="auto"/>
      </w:divBdr>
    </w:div>
    <w:div w:id="1920672085">
      <w:bodyDiv w:val="1"/>
      <w:marLeft w:val="0"/>
      <w:marRight w:val="0"/>
      <w:marTop w:val="0"/>
      <w:marBottom w:val="0"/>
      <w:divBdr>
        <w:top w:val="none" w:sz="0" w:space="0" w:color="auto"/>
        <w:left w:val="none" w:sz="0" w:space="0" w:color="auto"/>
        <w:bottom w:val="none" w:sz="0" w:space="0" w:color="auto"/>
        <w:right w:val="none" w:sz="0" w:space="0" w:color="auto"/>
      </w:divBdr>
    </w:div>
    <w:div w:id="1924491888">
      <w:bodyDiv w:val="1"/>
      <w:marLeft w:val="0"/>
      <w:marRight w:val="0"/>
      <w:marTop w:val="0"/>
      <w:marBottom w:val="0"/>
      <w:divBdr>
        <w:top w:val="none" w:sz="0" w:space="0" w:color="auto"/>
        <w:left w:val="none" w:sz="0" w:space="0" w:color="auto"/>
        <w:bottom w:val="none" w:sz="0" w:space="0" w:color="auto"/>
        <w:right w:val="none" w:sz="0" w:space="0" w:color="auto"/>
      </w:divBdr>
    </w:div>
    <w:div w:id="1925409450">
      <w:bodyDiv w:val="1"/>
      <w:marLeft w:val="0"/>
      <w:marRight w:val="0"/>
      <w:marTop w:val="0"/>
      <w:marBottom w:val="0"/>
      <w:divBdr>
        <w:top w:val="none" w:sz="0" w:space="0" w:color="auto"/>
        <w:left w:val="none" w:sz="0" w:space="0" w:color="auto"/>
        <w:bottom w:val="none" w:sz="0" w:space="0" w:color="auto"/>
        <w:right w:val="none" w:sz="0" w:space="0" w:color="auto"/>
      </w:divBdr>
    </w:div>
    <w:div w:id="1929731644">
      <w:bodyDiv w:val="1"/>
      <w:marLeft w:val="0"/>
      <w:marRight w:val="0"/>
      <w:marTop w:val="0"/>
      <w:marBottom w:val="0"/>
      <w:divBdr>
        <w:top w:val="none" w:sz="0" w:space="0" w:color="auto"/>
        <w:left w:val="none" w:sz="0" w:space="0" w:color="auto"/>
        <w:bottom w:val="none" w:sz="0" w:space="0" w:color="auto"/>
        <w:right w:val="none" w:sz="0" w:space="0" w:color="auto"/>
      </w:divBdr>
    </w:div>
    <w:div w:id="1930389147">
      <w:bodyDiv w:val="1"/>
      <w:marLeft w:val="0"/>
      <w:marRight w:val="0"/>
      <w:marTop w:val="0"/>
      <w:marBottom w:val="0"/>
      <w:divBdr>
        <w:top w:val="none" w:sz="0" w:space="0" w:color="auto"/>
        <w:left w:val="none" w:sz="0" w:space="0" w:color="auto"/>
        <w:bottom w:val="none" w:sz="0" w:space="0" w:color="auto"/>
        <w:right w:val="none" w:sz="0" w:space="0" w:color="auto"/>
      </w:divBdr>
    </w:div>
    <w:div w:id="1939630191">
      <w:bodyDiv w:val="1"/>
      <w:marLeft w:val="0"/>
      <w:marRight w:val="0"/>
      <w:marTop w:val="0"/>
      <w:marBottom w:val="0"/>
      <w:divBdr>
        <w:top w:val="none" w:sz="0" w:space="0" w:color="auto"/>
        <w:left w:val="none" w:sz="0" w:space="0" w:color="auto"/>
        <w:bottom w:val="none" w:sz="0" w:space="0" w:color="auto"/>
        <w:right w:val="none" w:sz="0" w:space="0" w:color="auto"/>
      </w:divBdr>
    </w:div>
    <w:div w:id="1944146395">
      <w:bodyDiv w:val="1"/>
      <w:marLeft w:val="0"/>
      <w:marRight w:val="0"/>
      <w:marTop w:val="0"/>
      <w:marBottom w:val="0"/>
      <w:divBdr>
        <w:top w:val="none" w:sz="0" w:space="0" w:color="auto"/>
        <w:left w:val="none" w:sz="0" w:space="0" w:color="auto"/>
        <w:bottom w:val="none" w:sz="0" w:space="0" w:color="auto"/>
        <w:right w:val="none" w:sz="0" w:space="0" w:color="auto"/>
      </w:divBdr>
    </w:div>
    <w:div w:id="1956400250">
      <w:bodyDiv w:val="1"/>
      <w:marLeft w:val="0"/>
      <w:marRight w:val="0"/>
      <w:marTop w:val="0"/>
      <w:marBottom w:val="0"/>
      <w:divBdr>
        <w:top w:val="none" w:sz="0" w:space="0" w:color="auto"/>
        <w:left w:val="none" w:sz="0" w:space="0" w:color="auto"/>
        <w:bottom w:val="none" w:sz="0" w:space="0" w:color="auto"/>
        <w:right w:val="none" w:sz="0" w:space="0" w:color="auto"/>
      </w:divBdr>
    </w:div>
    <w:div w:id="1960187760">
      <w:bodyDiv w:val="1"/>
      <w:marLeft w:val="0"/>
      <w:marRight w:val="0"/>
      <w:marTop w:val="0"/>
      <w:marBottom w:val="0"/>
      <w:divBdr>
        <w:top w:val="none" w:sz="0" w:space="0" w:color="auto"/>
        <w:left w:val="none" w:sz="0" w:space="0" w:color="auto"/>
        <w:bottom w:val="none" w:sz="0" w:space="0" w:color="auto"/>
        <w:right w:val="none" w:sz="0" w:space="0" w:color="auto"/>
      </w:divBdr>
    </w:div>
    <w:div w:id="1965184983">
      <w:bodyDiv w:val="1"/>
      <w:marLeft w:val="0"/>
      <w:marRight w:val="0"/>
      <w:marTop w:val="0"/>
      <w:marBottom w:val="0"/>
      <w:divBdr>
        <w:top w:val="none" w:sz="0" w:space="0" w:color="auto"/>
        <w:left w:val="none" w:sz="0" w:space="0" w:color="auto"/>
        <w:bottom w:val="none" w:sz="0" w:space="0" w:color="auto"/>
        <w:right w:val="none" w:sz="0" w:space="0" w:color="auto"/>
      </w:divBdr>
    </w:div>
    <w:div w:id="1970821484">
      <w:bodyDiv w:val="1"/>
      <w:marLeft w:val="0"/>
      <w:marRight w:val="0"/>
      <w:marTop w:val="0"/>
      <w:marBottom w:val="0"/>
      <w:divBdr>
        <w:top w:val="none" w:sz="0" w:space="0" w:color="auto"/>
        <w:left w:val="none" w:sz="0" w:space="0" w:color="auto"/>
        <w:bottom w:val="none" w:sz="0" w:space="0" w:color="auto"/>
        <w:right w:val="none" w:sz="0" w:space="0" w:color="auto"/>
      </w:divBdr>
    </w:div>
    <w:div w:id="1971203001">
      <w:bodyDiv w:val="1"/>
      <w:marLeft w:val="0"/>
      <w:marRight w:val="0"/>
      <w:marTop w:val="0"/>
      <w:marBottom w:val="0"/>
      <w:divBdr>
        <w:top w:val="none" w:sz="0" w:space="0" w:color="auto"/>
        <w:left w:val="none" w:sz="0" w:space="0" w:color="auto"/>
        <w:bottom w:val="none" w:sz="0" w:space="0" w:color="auto"/>
        <w:right w:val="none" w:sz="0" w:space="0" w:color="auto"/>
      </w:divBdr>
    </w:div>
    <w:div w:id="1974745851">
      <w:bodyDiv w:val="1"/>
      <w:marLeft w:val="0"/>
      <w:marRight w:val="0"/>
      <w:marTop w:val="0"/>
      <w:marBottom w:val="0"/>
      <w:divBdr>
        <w:top w:val="none" w:sz="0" w:space="0" w:color="auto"/>
        <w:left w:val="none" w:sz="0" w:space="0" w:color="auto"/>
        <w:bottom w:val="none" w:sz="0" w:space="0" w:color="auto"/>
        <w:right w:val="none" w:sz="0" w:space="0" w:color="auto"/>
      </w:divBdr>
    </w:div>
    <w:div w:id="1977954152">
      <w:bodyDiv w:val="1"/>
      <w:marLeft w:val="0"/>
      <w:marRight w:val="0"/>
      <w:marTop w:val="0"/>
      <w:marBottom w:val="0"/>
      <w:divBdr>
        <w:top w:val="none" w:sz="0" w:space="0" w:color="auto"/>
        <w:left w:val="none" w:sz="0" w:space="0" w:color="auto"/>
        <w:bottom w:val="none" w:sz="0" w:space="0" w:color="auto"/>
        <w:right w:val="none" w:sz="0" w:space="0" w:color="auto"/>
      </w:divBdr>
    </w:div>
    <w:div w:id="1978291210">
      <w:bodyDiv w:val="1"/>
      <w:marLeft w:val="0"/>
      <w:marRight w:val="0"/>
      <w:marTop w:val="0"/>
      <w:marBottom w:val="0"/>
      <w:divBdr>
        <w:top w:val="none" w:sz="0" w:space="0" w:color="auto"/>
        <w:left w:val="none" w:sz="0" w:space="0" w:color="auto"/>
        <w:bottom w:val="none" w:sz="0" w:space="0" w:color="auto"/>
        <w:right w:val="none" w:sz="0" w:space="0" w:color="auto"/>
      </w:divBdr>
    </w:div>
    <w:div w:id="1978294171">
      <w:bodyDiv w:val="1"/>
      <w:marLeft w:val="0"/>
      <w:marRight w:val="0"/>
      <w:marTop w:val="0"/>
      <w:marBottom w:val="0"/>
      <w:divBdr>
        <w:top w:val="none" w:sz="0" w:space="0" w:color="auto"/>
        <w:left w:val="none" w:sz="0" w:space="0" w:color="auto"/>
        <w:bottom w:val="none" w:sz="0" w:space="0" w:color="auto"/>
        <w:right w:val="none" w:sz="0" w:space="0" w:color="auto"/>
      </w:divBdr>
    </w:div>
    <w:div w:id="1980576890">
      <w:bodyDiv w:val="1"/>
      <w:marLeft w:val="0"/>
      <w:marRight w:val="0"/>
      <w:marTop w:val="0"/>
      <w:marBottom w:val="0"/>
      <w:divBdr>
        <w:top w:val="none" w:sz="0" w:space="0" w:color="auto"/>
        <w:left w:val="none" w:sz="0" w:space="0" w:color="auto"/>
        <w:bottom w:val="none" w:sz="0" w:space="0" w:color="auto"/>
        <w:right w:val="none" w:sz="0" w:space="0" w:color="auto"/>
      </w:divBdr>
    </w:div>
    <w:div w:id="1986422474">
      <w:bodyDiv w:val="1"/>
      <w:marLeft w:val="0"/>
      <w:marRight w:val="0"/>
      <w:marTop w:val="0"/>
      <w:marBottom w:val="0"/>
      <w:divBdr>
        <w:top w:val="none" w:sz="0" w:space="0" w:color="auto"/>
        <w:left w:val="none" w:sz="0" w:space="0" w:color="auto"/>
        <w:bottom w:val="none" w:sz="0" w:space="0" w:color="auto"/>
        <w:right w:val="none" w:sz="0" w:space="0" w:color="auto"/>
      </w:divBdr>
    </w:div>
    <w:div w:id="1992588649">
      <w:bodyDiv w:val="1"/>
      <w:marLeft w:val="0"/>
      <w:marRight w:val="0"/>
      <w:marTop w:val="0"/>
      <w:marBottom w:val="0"/>
      <w:divBdr>
        <w:top w:val="none" w:sz="0" w:space="0" w:color="auto"/>
        <w:left w:val="none" w:sz="0" w:space="0" w:color="auto"/>
        <w:bottom w:val="none" w:sz="0" w:space="0" w:color="auto"/>
        <w:right w:val="none" w:sz="0" w:space="0" w:color="auto"/>
      </w:divBdr>
    </w:div>
    <w:div w:id="1996182705">
      <w:bodyDiv w:val="1"/>
      <w:marLeft w:val="0"/>
      <w:marRight w:val="0"/>
      <w:marTop w:val="0"/>
      <w:marBottom w:val="0"/>
      <w:divBdr>
        <w:top w:val="none" w:sz="0" w:space="0" w:color="auto"/>
        <w:left w:val="none" w:sz="0" w:space="0" w:color="auto"/>
        <w:bottom w:val="none" w:sz="0" w:space="0" w:color="auto"/>
        <w:right w:val="none" w:sz="0" w:space="0" w:color="auto"/>
      </w:divBdr>
    </w:div>
    <w:div w:id="2002389440">
      <w:bodyDiv w:val="1"/>
      <w:marLeft w:val="0"/>
      <w:marRight w:val="0"/>
      <w:marTop w:val="0"/>
      <w:marBottom w:val="0"/>
      <w:divBdr>
        <w:top w:val="none" w:sz="0" w:space="0" w:color="auto"/>
        <w:left w:val="none" w:sz="0" w:space="0" w:color="auto"/>
        <w:bottom w:val="none" w:sz="0" w:space="0" w:color="auto"/>
        <w:right w:val="none" w:sz="0" w:space="0" w:color="auto"/>
      </w:divBdr>
    </w:div>
    <w:div w:id="2016229153">
      <w:bodyDiv w:val="1"/>
      <w:marLeft w:val="0"/>
      <w:marRight w:val="0"/>
      <w:marTop w:val="0"/>
      <w:marBottom w:val="0"/>
      <w:divBdr>
        <w:top w:val="none" w:sz="0" w:space="0" w:color="auto"/>
        <w:left w:val="none" w:sz="0" w:space="0" w:color="auto"/>
        <w:bottom w:val="none" w:sz="0" w:space="0" w:color="auto"/>
        <w:right w:val="none" w:sz="0" w:space="0" w:color="auto"/>
      </w:divBdr>
    </w:div>
    <w:div w:id="2017724663">
      <w:bodyDiv w:val="1"/>
      <w:marLeft w:val="0"/>
      <w:marRight w:val="0"/>
      <w:marTop w:val="0"/>
      <w:marBottom w:val="0"/>
      <w:divBdr>
        <w:top w:val="none" w:sz="0" w:space="0" w:color="auto"/>
        <w:left w:val="none" w:sz="0" w:space="0" w:color="auto"/>
        <w:bottom w:val="none" w:sz="0" w:space="0" w:color="auto"/>
        <w:right w:val="none" w:sz="0" w:space="0" w:color="auto"/>
      </w:divBdr>
    </w:div>
    <w:div w:id="2025210742">
      <w:bodyDiv w:val="1"/>
      <w:marLeft w:val="0"/>
      <w:marRight w:val="0"/>
      <w:marTop w:val="0"/>
      <w:marBottom w:val="0"/>
      <w:divBdr>
        <w:top w:val="none" w:sz="0" w:space="0" w:color="auto"/>
        <w:left w:val="none" w:sz="0" w:space="0" w:color="auto"/>
        <w:bottom w:val="none" w:sz="0" w:space="0" w:color="auto"/>
        <w:right w:val="none" w:sz="0" w:space="0" w:color="auto"/>
      </w:divBdr>
    </w:div>
    <w:div w:id="2029520828">
      <w:bodyDiv w:val="1"/>
      <w:marLeft w:val="0"/>
      <w:marRight w:val="0"/>
      <w:marTop w:val="0"/>
      <w:marBottom w:val="0"/>
      <w:divBdr>
        <w:top w:val="none" w:sz="0" w:space="0" w:color="auto"/>
        <w:left w:val="none" w:sz="0" w:space="0" w:color="auto"/>
        <w:bottom w:val="none" w:sz="0" w:space="0" w:color="auto"/>
        <w:right w:val="none" w:sz="0" w:space="0" w:color="auto"/>
      </w:divBdr>
    </w:div>
    <w:div w:id="2036230340">
      <w:bodyDiv w:val="1"/>
      <w:marLeft w:val="0"/>
      <w:marRight w:val="0"/>
      <w:marTop w:val="0"/>
      <w:marBottom w:val="0"/>
      <w:divBdr>
        <w:top w:val="none" w:sz="0" w:space="0" w:color="auto"/>
        <w:left w:val="none" w:sz="0" w:space="0" w:color="auto"/>
        <w:bottom w:val="none" w:sz="0" w:space="0" w:color="auto"/>
        <w:right w:val="none" w:sz="0" w:space="0" w:color="auto"/>
      </w:divBdr>
    </w:div>
    <w:div w:id="2040934560">
      <w:bodyDiv w:val="1"/>
      <w:marLeft w:val="0"/>
      <w:marRight w:val="0"/>
      <w:marTop w:val="0"/>
      <w:marBottom w:val="0"/>
      <w:divBdr>
        <w:top w:val="none" w:sz="0" w:space="0" w:color="auto"/>
        <w:left w:val="none" w:sz="0" w:space="0" w:color="auto"/>
        <w:bottom w:val="none" w:sz="0" w:space="0" w:color="auto"/>
        <w:right w:val="none" w:sz="0" w:space="0" w:color="auto"/>
      </w:divBdr>
    </w:div>
    <w:div w:id="2043360320">
      <w:bodyDiv w:val="1"/>
      <w:marLeft w:val="0"/>
      <w:marRight w:val="0"/>
      <w:marTop w:val="0"/>
      <w:marBottom w:val="0"/>
      <w:divBdr>
        <w:top w:val="none" w:sz="0" w:space="0" w:color="auto"/>
        <w:left w:val="none" w:sz="0" w:space="0" w:color="auto"/>
        <w:bottom w:val="none" w:sz="0" w:space="0" w:color="auto"/>
        <w:right w:val="none" w:sz="0" w:space="0" w:color="auto"/>
      </w:divBdr>
    </w:div>
    <w:div w:id="2047487620">
      <w:bodyDiv w:val="1"/>
      <w:marLeft w:val="0"/>
      <w:marRight w:val="0"/>
      <w:marTop w:val="0"/>
      <w:marBottom w:val="0"/>
      <w:divBdr>
        <w:top w:val="none" w:sz="0" w:space="0" w:color="auto"/>
        <w:left w:val="none" w:sz="0" w:space="0" w:color="auto"/>
        <w:bottom w:val="none" w:sz="0" w:space="0" w:color="auto"/>
        <w:right w:val="none" w:sz="0" w:space="0" w:color="auto"/>
      </w:divBdr>
    </w:div>
    <w:div w:id="2050298951">
      <w:bodyDiv w:val="1"/>
      <w:marLeft w:val="0"/>
      <w:marRight w:val="0"/>
      <w:marTop w:val="0"/>
      <w:marBottom w:val="0"/>
      <w:divBdr>
        <w:top w:val="none" w:sz="0" w:space="0" w:color="auto"/>
        <w:left w:val="none" w:sz="0" w:space="0" w:color="auto"/>
        <w:bottom w:val="none" w:sz="0" w:space="0" w:color="auto"/>
        <w:right w:val="none" w:sz="0" w:space="0" w:color="auto"/>
      </w:divBdr>
    </w:div>
    <w:div w:id="2050453453">
      <w:bodyDiv w:val="1"/>
      <w:marLeft w:val="0"/>
      <w:marRight w:val="0"/>
      <w:marTop w:val="0"/>
      <w:marBottom w:val="0"/>
      <w:divBdr>
        <w:top w:val="none" w:sz="0" w:space="0" w:color="auto"/>
        <w:left w:val="none" w:sz="0" w:space="0" w:color="auto"/>
        <w:bottom w:val="none" w:sz="0" w:space="0" w:color="auto"/>
        <w:right w:val="none" w:sz="0" w:space="0" w:color="auto"/>
      </w:divBdr>
    </w:div>
    <w:div w:id="2050759649">
      <w:bodyDiv w:val="1"/>
      <w:marLeft w:val="0"/>
      <w:marRight w:val="0"/>
      <w:marTop w:val="0"/>
      <w:marBottom w:val="0"/>
      <w:divBdr>
        <w:top w:val="none" w:sz="0" w:space="0" w:color="auto"/>
        <w:left w:val="none" w:sz="0" w:space="0" w:color="auto"/>
        <w:bottom w:val="none" w:sz="0" w:space="0" w:color="auto"/>
        <w:right w:val="none" w:sz="0" w:space="0" w:color="auto"/>
      </w:divBdr>
    </w:div>
    <w:div w:id="2050959479">
      <w:bodyDiv w:val="1"/>
      <w:marLeft w:val="0"/>
      <w:marRight w:val="0"/>
      <w:marTop w:val="0"/>
      <w:marBottom w:val="0"/>
      <w:divBdr>
        <w:top w:val="none" w:sz="0" w:space="0" w:color="auto"/>
        <w:left w:val="none" w:sz="0" w:space="0" w:color="auto"/>
        <w:bottom w:val="none" w:sz="0" w:space="0" w:color="auto"/>
        <w:right w:val="none" w:sz="0" w:space="0" w:color="auto"/>
      </w:divBdr>
    </w:div>
    <w:div w:id="2060548235">
      <w:bodyDiv w:val="1"/>
      <w:marLeft w:val="0"/>
      <w:marRight w:val="0"/>
      <w:marTop w:val="0"/>
      <w:marBottom w:val="0"/>
      <w:divBdr>
        <w:top w:val="none" w:sz="0" w:space="0" w:color="auto"/>
        <w:left w:val="none" w:sz="0" w:space="0" w:color="auto"/>
        <w:bottom w:val="none" w:sz="0" w:space="0" w:color="auto"/>
        <w:right w:val="none" w:sz="0" w:space="0" w:color="auto"/>
      </w:divBdr>
    </w:div>
    <w:div w:id="2062287222">
      <w:bodyDiv w:val="1"/>
      <w:marLeft w:val="0"/>
      <w:marRight w:val="0"/>
      <w:marTop w:val="0"/>
      <w:marBottom w:val="0"/>
      <w:divBdr>
        <w:top w:val="none" w:sz="0" w:space="0" w:color="auto"/>
        <w:left w:val="none" w:sz="0" w:space="0" w:color="auto"/>
        <w:bottom w:val="none" w:sz="0" w:space="0" w:color="auto"/>
        <w:right w:val="none" w:sz="0" w:space="0" w:color="auto"/>
      </w:divBdr>
    </w:div>
    <w:div w:id="2064982555">
      <w:bodyDiv w:val="1"/>
      <w:marLeft w:val="0"/>
      <w:marRight w:val="0"/>
      <w:marTop w:val="0"/>
      <w:marBottom w:val="0"/>
      <w:divBdr>
        <w:top w:val="none" w:sz="0" w:space="0" w:color="auto"/>
        <w:left w:val="none" w:sz="0" w:space="0" w:color="auto"/>
        <w:bottom w:val="none" w:sz="0" w:space="0" w:color="auto"/>
        <w:right w:val="none" w:sz="0" w:space="0" w:color="auto"/>
      </w:divBdr>
    </w:div>
    <w:div w:id="2068533799">
      <w:bodyDiv w:val="1"/>
      <w:marLeft w:val="0"/>
      <w:marRight w:val="0"/>
      <w:marTop w:val="0"/>
      <w:marBottom w:val="0"/>
      <w:divBdr>
        <w:top w:val="none" w:sz="0" w:space="0" w:color="auto"/>
        <w:left w:val="none" w:sz="0" w:space="0" w:color="auto"/>
        <w:bottom w:val="none" w:sz="0" w:space="0" w:color="auto"/>
        <w:right w:val="none" w:sz="0" w:space="0" w:color="auto"/>
      </w:divBdr>
    </w:div>
    <w:div w:id="2070687758">
      <w:bodyDiv w:val="1"/>
      <w:marLeft w:val="0"/>
      <w:marRight w:val="0"/>
      <w:marTop w:val="0"/>
      <w:marBottom w:val="0"/>
      <w:divBdr>
        <w:top w:val="none" w:sz="0" w:space="0" w:color="auto"/>
        <w:left w:val="none" w:sz="0" w:space="0" w:color="auto"/>
        <w:bottom w:val="none" w:sz="0" w:space="0" w:color="auto"/>
        <w:right w:val="none" w:sz="0" w:space="0" w:color="auto"/>
      </w:divBdr>
    </w:div>
    <w:div w:id="2093161698">
      <w:bodyDiv w:val="1"/>
      <w:marLeft w:val="0"/>
      <w:marRight w:val="0"/>
      <w:marTop w:val="0"/>
      <w:marBottom w:val="0"/>
      <w:divBdr>
        <w:top w:val="none" w:sz="0" w:space="0" w:color="auto"/>
        <w:left w:val="none" w:sz="0" w:space="0" w:color="auto"/>
        <w:bottom w:val="none" w:sz="0" w:space="0" w:color="auto"/>
        <w:right w:val="none" w:sz="0" w:space="0" w:color="auto"/>
      </w:divBdr>
    </w:div>
    <w:div w:id="2098332140">
      <w:bodyDiv w:val="1"/>
      <w:marLeft w:val="0"/>
      <w:marRight w:val="0"/>
      <w:marTop w:val="0"/>
      <w:marBottom w:val="0"/>
      <w:divBdr>
        <w:top w:val="none" w:sz="0" w:space="0" w:color="auto"/>
        <w:left w:val="none" w:sz="0" w:space="0" w:color="auto"/>
        <w:bottom w:val="none" w:sz="0" w:space="0" w:color="auto"/>
        <w:right w:val="none" w:sz="0" w:space="0" w:color="auto"/>
      </w:divBdr>
    </w:div>
    <w:div w:id="2104177511">
      <w:bodyDiv w:val="1"/>
      <w:marLeft w:val="0"/>
      <w:marRight w:val="0"/>
      <w:marTop w:val="0"/>
      <w:marBottom w:val="0"/>
      <w:divBdr>
        <w:top w:val="none" w:sz="0" w:space="0" w:color="auto"/>
        <w:left w:val="none" w:sz="0" w:space="0" w:color="auto"/>
        <w:bottom w:val="none" w:sz="0" w:space="0" w:color="auto"/>
        <w:right w:val="none" w:sz="0" w:space="0" w:color="auto"/>
      </w:divBdr>
    </w:div>
    <w:div w:id="2104449844">
      <w:bodyDiv w:val="1"/>
      <w:marLeft w:val="0"/>
      <w:marRight w:val="0"/>
      <w:marTop w:val="0"/>
      <w:marBottom w:val="0"/>
      <w:divBdr>
        <w:top w:val="none" w:sz="0" w:space="0" w:color="auto"/>
        <w:left w:val="none" w:sz="0" w:space="0" w:color="auto"/>
        <w:bottom w:val="none" w:sz="0" w:space="0" w:color="auto"/>
        <w:right w:val="none" w:sz="0" w:space="0" w:color="auto"/>
      </w:divBdr>
    </w:div>
    <w:div w:id="2105761144">
      <w:bodyDiv w:val="1"/>
      <w:marLeft w:val="0"/>
      <w:marRight w:val="0"/>
      <w:marTop w:val="0"/>
      <w:marBottom w:val="0"/>
      <w:divBdr>
        <w:top w:val="none" w:sz="0" w:space="0" w:color="auto"/>
        <w:left w:val="none" w:sz="0" w:space="0" w:color="auto"/>
        <w:bottom w:val="none" w:sz="0" w:space="0" w:color="auto"/>
        <w:right w:val="none" w:sz="0" w:space="0" w:color="auto"/>
      </w:divBdr>
    </w:div>
    <w:div w:id="2107576616">
      <w:bodyDiv w:val="1"/>
      <w:marLeft w:val="0"/>
      <w:marRight w:val="0"/>
      <w:marTop w:val="0"/>
      <w:marBottom w:val="0"/>
      <w:divBdr>
        <w:top w:val="none" w:sz="0" w:space="0" w:color="auto"/>
        <w:left w:val="none" w:sz="0" w:space="0" w:color="auto"/>
        <w:bottom w:val="none" w:sz="0" w:space="0" w:color="auto"/>
        <w:right w:val="none" w:sz="0" w:space="0" w:color="auto"/>
      </w:divBdr>
    </w:div>
    <w:div w:id="2109766853">
      <w:bodyDiv w:val="1"/>
      <w:marLeft w:val="0"/>
      <w:marRight w:val="0"/>
      <w:marTop w:val="0"/>
      <w:marBottom w:val="0"/>
      <w:divBdr>
        <w:top w:val="none" w:sz="0" w:space="0" w:color="auto"/>
        <w:left w:val="none" w:sz="0" w:space="0" w:color="auto"/>
        <w:bottom w:val="none" w:sz="0" w:space="0" w:color="auto"/>
        <w:right w:val="none" w:sz="0" w:space="0" w:color="auto"/>
      </w:divBdr>
    </w:div>
    <w:div w:id="2116905313">
      <w:bodyDiv w:val="1"/>
      <w:marLeft w:val="0"/>
      <w:marRight w:val="0"/>
      <w:marTop w:val="0"/>
      <w:marBottom w:val="0"/>
      <w:divBdr>
        <w:top w:val="none" w:sz="0" w:space="0" w:color="auto"/>
        <w:left w:val="none" w:sz="0" w:space="0" w:color="auto"/>
        <w:bottom w:val="none" w:sz="0" w:space="0" w:color="auto"/>
        <w:right w:val="none" w:sz="0" w:space="0" w:color="auto"/>
      </w:divBdr>
    </w:div>
    <w:div w:id="2122913743">
      <w:bodyDiv w:val="1"/>
      <w:marLeft w:val="0"/>
      <w:marRight w:val="0"/>
      <w:marTop w:val="0"/>
      <w:marBottom w:val="0"/>
      <w:divBdr>
        <w:top w:val="none" w:sz="0" w:space="0" w:color="auto"/>
        <w:left w:val="none" w:sz="0" w:space="0" w:color="auto"/>
        <w:bottom w:val="none" w:sz="0" w:space="0" w:color="auto"/>
        <w:right w:val="none" w:sz="0" w:space="0" w:color="auto"/>
      </w:divBdr>
    </w:div>
    <w:div w:id="2123913821">
      <w:bodyDiv w:val="1"/>
      <w:marLeft w:val="0"/>
      <w:marRight w:val="0"/>
      <w:marTop w:val="0"/>
      <w:marBottom w:val="0"/>
      <w:divBdr>
        <w:top w:val="none" w:sz="0" w:space="0" w:color="auto"/>
        <w:left w:val="none" w:sz="0" w:space="0" w:color="auto"/>
        <w:bottom w:val="none" w:sz="0" w:space="0" w:color="auto"/>
        <w:right w:val="none" w:sz="0" w:space="0" w:color="auto"/>
      </w:divBdr>
    </w:div>
    <w:div w:id="2129228445">
      <w:bodyDiv w:val="1"/>
      <w:marLeft w:val="0"/>
      <w:marRight w:val="0"/>
      <w:marTop w:val="0"/>
      <w:marBottom w:val="0"/>
      <w:divBdr>
        <w:top w:val="none" w:sz="0" w:space="0" w:color="auto"/>
        <w:left w:val="none" w:sz="0" w:space="0" w:color="auto"/>
        <w:bottom w:val="none" w:sz="0" w:space="0" w:color="auto"/>
        <w:right w:val="none" w:sz="0" w:space="0" w:color="auto"/>
      </w:divBdr>
    </w:div>
    <w:div w:id="2131626063">
      <w:bodyDiv w:val="1"/>
      <w:marLeft w:val="0"/>
      <w:marRight w:val="0"/>
      <w:marTop w:val="0"/>
      <w:marBottom w:val="0"/>
      <w:divBdr>
        <w:top w:val="none" w:sz="0" w:space="0" w:color="auto"/>
        <w:left w:val="none" w:sz="0" w:space="0" w:color="auto"/>
        <w:bottom w:val="none" w:sz="0" w:space="0" w:color="auto"/>
        <w:right w:val="none" w:sz="0" w:space="0" w:color="auto"/>
      </w:divBdr>
    </w:div>
    <w:div w:id="2135169039">
      <w:bodyDiv w:val="1"/>
      <w:marLeft w:val="0"/>
      <w:marRight w:val="0"/>
      <w:marTop w:val="0"/>
      <w:marBottom w:val="0"/>
      <w:divBdr>
        <w:top w:val="none" w:sz="0" w:space="0" w:color="auto"/>
        <w:left w:val="none" w:sz="0" w:space="0" w:color="auto"/>
        <w:bottom w:val="none" w:sz="0" w:space="0" w:color="auto"/>
        <w:right w:val="none" w:sz="0" w:space="0" w:color="auto"/>
      </w:divBdr>
    </w:div>
    <w:div w:id="2136755464">
      <w:bodyDiv w:val="1"/>
      <w:marLeft w:val="0"/>
      <w:marRight w:val="0"/>
      <w:marTop w:val="0"/>
      <w:marBottom w:val="0"/>
      <w:divBdr>
        <w:top w:val="none" w:sz="0" w:space="0" w:color="auto"/>
        <w:left w:val="none" w:sz="0" w:space="0" w:color="auto"/>
        <w:bottom w:val="none" w:sz="0" w:space="0" w:color="auto"/>
        <w:right w:val="none" w:sz="0" w:space="0" w:color="auto"/>
      </w:divBdr>
    </w:div>
    <w:div w:id="2136942786">
      <w:bodyDiv w:val="1"/>
      <w:marLeft w:val="0"/>
      <w:marRight w:val="0"/>
      <w:marTop w:val="0"/>
      <w:marBottom w:val="0"/>
      <w:divBdr>
        <w:top w:val="none" w:sz="0" w:space="0" w:color="auto"/>
        <w:left w:val="none" w:sz="0" w:space="0" w:color="auto"/>
        <w:bottom w:val="none" w:sz="0" w:space="0" w:color="auto"/>
        <w:right w:val="none" w:sz="0" w:space="0" w:color="auto"/>
      </w:divBdr>
    </w:div>
    <w:div w:id="2137482163">
      <w:bodyDiv w:val="1"/>
      <w:marLeft w:val="0"/>
      <w:marRight w:val="0"/>
      <w:marTop w:val="0"/>
      <w:marBottom w:val="0"/>
      <w:divBdr>
        <w:top w:val="none" w:sz="0" w:space="0" w:color="auto"/>
        <w:left w:val="none" w:sz="0" w:space="0" w:color="auto"/>
        <w:bottom w:val="none" w:sz="0" w:space="0" w:color="auto"/>
        <w:right w:val="none" w:sz="0" w:space="0" w:color="auto"/>
      </w:divBdr>
    </w:div>
    <w:div w:id="2141261947">
      <w:bodyDiv w:val="1"/>
      <w:marLeft w:val="0"/>
      <w:marRight w:val="0"/>
      <w:marTop w:val="0"/>
      <w:marBottom w:val="0"/>
      <w:divBdr>
        <w:top w:val="none" w:sz="0" w:space="0" w:color="auto"/>
        <w:left w:val="none" w:sz="0" w:space="0" w:color="auto"/>
        <w:bottom w:val="none" w:sz="0" w:space="0" w:color="auto"/>
        <w:right w:val="none" w:sz="0" w:space="0" w:color="auto"/>
      </w:divBdr>
    </w:div>
    <w:div w:id="21443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rc4.co.uk"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tact@arc4.co.uk" TargetMode="Externa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www.arc4.co.uk"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0.xml"/></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7632/Final_Chief_Planning_Officer_letter_and_written_statement.pdf" TargetMode="External"/><Relationship Id="rId7" Type="http://schemas.openxmlformats.org/officeDocument/2006/relationships/hyperlink" Target="https://www.gov.uk/government/speeches/planning-and-travellers" TargetMode="External"/><Relationship Id="rId2" Type="http://schemas.openxmlformats.org/officeDocument/2006/relationships/hyperlink" Target="http://www.parliament.uk/business/publications/written-questions-answers-statements/written-statement/Commons/2015-12-17/HCWS423/" TargetMode="External"/><Relationship Id="rId1" Type="http://schemas.openxmlformats.org/officeDocument/2006/relationships/hyperlink" Target="https://www.gov.uk/government/uploads/system/uploads/attachment_data/file/457632/Final_Chief_Planning_Officer_letter_and_written_statement.pdf" TargetMode="External"/><Relationship Id="rId6" Type="http://schemas.openxmlformats.org/officeDocument/2006/relationships/hyperlink" Target="http://www.communities.gov.uk/news/corporate/2124322" TargetMode="External"/><Relationship Id="rId5" Type="http://schemas.openxmlformats.org/officeDocument/2006/relationships/hyperlink" Target="http://www.ons.gov.uk/ons/rel/census/2011-census-analysis/what-does-the-2011-census-tell-us-about-the-characteristics-of-gypsy-or-irish-travellers-in-england-and-wales-/index.html" TargetMode="External"/><Relationship Id="rId4" Type="http://schemas.openxmlformats.org/officeDocument/2006/relationships/hyperlink" Target="http://www.parliament.uk/business/publications/written-questions-answers-statements/written-statement/Commons/2015-12-17/HCWS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ie%20Brand\Documents\ARC4\Styles\SHMA%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AB093-CA62-4EE0-82D2-237C50D9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SHMA Template V2</Template>
  <TotalTime>1</TotalTime>
  <Pages>4</Pages>
  <Words>23582</Words>
  <Characters>134421</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157688</CharactersWithSpaces>
  <SharedDoc>false</SharedDoc>
  <HLinks>
    <vt:vector size="816" baseType="variant">
      <vt:variant>
        <vt:i4>1179700</vt:i4>
      </vt:variant>
      <vt:variant>
        <vt:i4>773</vt:i4>
      </vt:variant>
      <vt:variant>
        <vt:i4>0</vt:i4>
      </vt:variant>
      <vt:variant>
        <vt:i4>5</vt:i4>
      </vt:variant>
      <vt:variant>
        <vt:lpwstr/>
      </vt:variant>
      <vt:variant>
        <vt:lpwstr>_Toc373354151</vt:lpwstr>
      </vt:variant>
      <vt:variant>
        <vt:i4>2031676</vt:i4>
      </vt:variant>
      <vt:variant>
        <vt:i4>764</vt:i4>
      </vt:variant>
      <vt:variant>
        <vt:i4>0</vt:i4>
      </vt:variant>
      <vt:variant>
        <vt:i4>5</vt:i4>
      </vt:variant>
      <vt:variant>
        <vt:lpwstr/>
      </vt:variant>
      <vt:variant>
        <vt:lpwstr>_Toc373493589</vt:lpwstr>
      </vt:variant>
      <vt:variant>
        <vt:i4>2031676</vt:i4>
      </vt:variant>
      <vt:variant>
        <vt:i4>758</vt:i4>
      </vt:variant>
      <vt:variant>
        <vt:i4>0</vt:i4>
      </vt:variant>
      <vt:variant>
        <vt:i4>5</vt:i4>
      </vt:variant>
      <vt:variant>
        <vt:lpwstr/>
      </vt:variant>
      <vt:variant>
        <vt:lpwstr>_Toc373493588</vt:lpwstr>
      </vt:variant>
      <vt:variant>
        <vt:i4>2031676</vt:i4>
      </vt:variant>
      <vt:variant>
        <vt:i4>752</vt:i4>
      </vt:variant>
      <vt:variant>
        <vt:i4>0</vt:i4>
      </vt:variant>
      <vt:variant>
        <vt:i4>5</vt:i4>
      </vt:variant>
      <vt:variant>
        <vt:lpwstr/>
      </vt:variant>
      <vt:variant>
        <vt:lpwstr>_Toc373493587</vt:lpwstr>
      </vt:variant>
      <vt:variant>
        <vt:i4>2031676</vt:i4>
      </vt:variant>
      <vt:variant>
        <vt:i4>746</vt:i4>
      </vt:variant>
      <vt:variant>
        <vt:i4>0</vt:i4>
      </vt:variant>
      <vt:variant>
        <vt:i4>5</vt:i4>
      </vt:variant>
      <vt:variant>
        <vt:lpwstr/>
      </vt:variant>
      <vt:variant>
        <vt:lpwstr>_Toc373493586</vt:lpwstr>
      </vt:variant>
      <vt:variant>
        <vt:i4>2031676</vt:i4>
      </vt:variant>
      <vt:variant>
        <vt:i4>740</vt:i4>
      </vt:variant>
      <vt:variant>
        <vt:i4>0</vt:i4>
      </vt:variant>
      <vt:variant>
        <vt:i4>5</vt:i4>
      </vt:variant>
      <vt:variant>
        <vt:lpwstr/>
      </vt:variant>
      <vt:variant>
        <vt:lpwstr>_Toc373493585</vt:lpwstr>
      </vt:variant>
      <vt:variant>
        <vt:i4>2031676</vt:i4>
      </vt:variant>
      <vt:variant>
        <vt:i4>734</vt:i4>
      </vt:variant>
      <vt:variant>
        <vt:i4>0</vt:i4>
      </vt:variant>
      <vt:variant>
        <vt:i4>5</vt:i4>
      </vt:variant>
      <vt:variant>
        <vt:lpwstr/>
      </vt:variant>
      <vt:variant>
        <vt:lpwstr>_Toc373493584</vt:lpwstr>
      </vt:variant>
      <vt:variant>
        <vt:i4>2031676</vt:i4>
      </vt:variant>
      <vt:variant>
        <vt:i4>728</vt:i4>
      </vt:variant>
      <vt:variant>
        <vt:i4>0</vt:i4>
      </vt:variant>
      <vt:variant>
        <vt:i4>5</vt:i4>
      </vt:variant>
      <vt:variant>
        <vt:lpwstr/>
      </vt:variant>
      <vt:variant>
        <vt:lpwstr>_Toc373493583</vt:lpwstr>
      </vt:variant>
      <vt:variant>
        <vt:i4>2031676</vt:i4>
      </vt:variant>
      <vt:variant>
        <vt:i4>722</vt:i4>
      </vt:variant>
      <vt:variant>
        <vt:i4>0</vt:i4>
      </vt:variant>
      <vt:variant>
        <vt:i4>5</vt:i4>
      </vt:variant>
      <vt:variant>
        <vt:lpwstr/>
      </vt:variant>
      <vt:variant>
        <vt:lpwstr>_Toc373493582</vt:lpwstr>
      </vt:variant>
      <vt:variant>
        <vt:i4>2031676</vt:i4>
      </vt:variant>
      <vt:variant>
        <vt:i4>716</vt:i4>
      </vt:variant>
      <vt:variant>
        <vt:i4>0</vt:i4>
      </vt:variant>
      <vt:variant>
        <vt:i4>5</vt:i4>
      </vt:variant>
      <vt:variant>
        <vt:lpwstr/>
      </vt:variant>
      <vt:variant>
        <vt:lpwstr>_Toc373493581</vt:lpwstr>
      </vt:variant>
      <vt:variant>
        <vt:i4>2031676</vt:i4>
      </vt:variant>
      <vt:variant>
        <vt:i4>710</vt:i4>
      </vt:variant>
      <vt:variant>
        <vt:i4>0</vt:i4>
      </vt:variant>
      <vt:variant>
        <vt:i4>5</vt:i4>
      </vt:variant>
      <vt:variant>
        <vt:lpwstr/>
      </vt:variant>
      <vt:variant>
        <vt:lpwstr>_Toc373493580</vt:lpwstr>
      </vt:variant>
      <vt:variant>
        <vt:i4>1048636</vt:i4>
      </vt:variant>
      <vt:variant>
        <vt:i4>704</vt:i4>
      </vt:variant>
      <vt:variant>
        <vt:i4>0</vt:i4>
      </vt:variant>
      <vt:variant>
        <vt:i4>5</vt:i4>
      </vt:variant>
      <vt:variant>
        <vt:lpwstr/>
      </vt:variant>
      <vt:variant>
        <vt:lpwstr>_Toc373493579</vt:lpwstr>
      </vt:variant>
      <vt:variant>
        <vt:i4>1048636</vt:i4>
      </vt:variant>
      <vt:variant>
        <vt:i4>695</vt:i4>
      </vt:variant>
      <vt:variant>
        <vt:i4>0</vt:i4>
      </vt:variant>
      <vt:variant>
        <vt:i4>5</vt:i4>
      </vt:variant>
      <vt:variant>
        <vt:lpwstr/>
      </vt:variant>
      <vt:variant>
        <vt:lpwstr>_Toc373493578</vt:lpwstr>
      </vt:variant>
      <vt:variant>
        <vt:i4>1048636</vt:i4>
      </vt:variant>
      <vt:variant>
        <vt:i4>689</vt:i4>
      </vt:variant>
      <vt:variant>
        <vt:i4>0</vt:i4>
      </vt:variant>
      <vt:variant>
        <vt:i4>5</vt:i4>
      </vt:variant>
      <vt:variant>
        <vt:lpwstr/>
      </vt:variant>
      <vt:variant>
        <vt:lpwstr>_Toc373493577</vt:lpwstr>
      </vt:variant>
      <vt:variant>
        <vt:i4>1048636</vt:i4>
      </vt:variant>
      <vt:variant>
        <vt:i4>683</vt:i4>
      </vt:variant>
      <vt:variant>
        <vt:i4>0</vt:i4>
      </vt:variant>
      <vt:variant>
        <vt:i4>5</vt:i4>
      </vt:variant>
      <vt:variant>
        <vt:lpwstr/>
      </vt:variant>
      <vt:variant>
        <vt:lpwstr>_Toc373493576</vt:lpwstr>
      </vt:variant>
      <vt:variant>
        <vt:i4>1048636</vt:i4>
      </vt:variant>
      <vt:variant>
        <vt:i4>677</vt:i4>
      </vt:variant>
      <vt:variant>
        <vt:i4>0</vt:i4>
      </vt:variant>
      <vt:variant>
        <vt:i4>5</vt:i4>
      </vt:variant>
      <vt:variant>
        <vt:lpwstr/>
      </vt:variant>
      <vt:variant>
        <vt:lpwstr>_Toc373493575</vt:lpwstr>
      </vt:variant>
      <vt:variant>
        <vt:i4>1048636</vt:i4>
      </vt:variant>
      <vt:variant>
        <vt:i4>671</vt:i4>
      </vt:variant>
      <vt:variant>
        <vt:i4>0</vt:i4>
      </vt:variant>
      <vt:variant>
        <vt:i4>5</vt:i4>
      </vt:variant>
      <vt:variant>
        <vt:lpwstr/>
      </vt:variant>
      <vt:variant>
        <vt:lpwstr>_Toc373493574</vt:lpwstr>
      </vt:variant>
      <vt:variant>
        <vt:i4>1048636</vt:i4>
      </vt:variant>
      <vt:variant>
        <vt:i4>665</vt:i4>
      </vt:variant>
      <vt:variant>
        <vt:i4>0</vt:i4>
      </vt:variant>
      <vt:variant>
        <vt:i4>5</vt:i4>
      </vt:variant>
      <vt:variant>
        <vt:lpwstr/>
      </vt:variant>
      <vt:variant>
        <vt:lpwstr>_Toc373493573</vt:lpwstr>
      </vt:variant>
      <vt:variant>
        <vt:i4>1048636</vt:i4>
      </vt:variant>
      <vt:variant>
        <vt:i4>659</vt:i4>
      </vt:variant>
      <vt:variant>
        <vt:i4>0</vt:i4>
      </vt:variant>
      <vt:variant>
        <vt:i4>5</vt:i4>
      </vt:variant>
      <vt:variant>
        <vt:lpwstr/>
      </vt:variant>
      <vt:variant>
        <vt:lpwstr>_Toc373493572</vt:lpwstr>
      </vt:variant>
      <vt:variant>
        <vt:i4>1048636</vt:i4>
      </vt:variant>
      <vt:variant>
        <vt:i4>653</vt:i4>
      </vt:variant>
      <vt:variant>
        <vt:i4>0</vt:i4>
      </vt:variant>
      <vt:variant>
        <vt:i4>5</vt:i4>
      </vt:variant>
      <vt:variant>
        <vt:lpwstr/>
      </vt:variant>
      <vt:variant>
        <vt:lpwstr>_Toc373493571</vt:lpwstr>
      </vt:variant>
      <vt:variant>
        <vt:i4>1048636</vt:i4>
      </vt:variant>
      <vt:variant>
        <vt:i4>647</vt:i4>
      </vt:variant>
      <vt:variant>
        <vt:i4>0</vt:i4>
      </vt:variant>
      <vt:variant>
        <vt:i4>5</vt:i4>
      </vt:variant>
      <vt:variant>
        <vt:lpwstr/>
      </vt:variant>
      <vt:variant>
        <vt:lpwstr>_Toc373493570</vt:lpwstr>
      </vt:variant>
      <vt:variant>
        <vt:i4>1114172</vt:i4>
      </vt:variant>
      <vt:variant>
        <vt:i4>641</vt:i4>
      </vt:variant>
      <vt:variant>
        <vt:i4>0</vt:i4>
      </vt:variant>
      <vt:variant>
        <vt:i4>5</vt:i4>
      </vt:variant>
      <vt:variant>
        <vt:lpwstr/>
      </vt:variant>
      <vt:variant>
        <vt:lpwstr>_Toc373493569</vt:lpwstr>
      </vt:variant>
      <vt:variant>
        <vt:i4>1114172</vt:i4>
      </vt:variant>
      <vt:variant>
        <vt:i4>635</vt:i4>
      </vt:variant>
      <vt:variant>
        <vt:i4>0</vt:i4>
      </vt:variant>
      <vt:variant>
        <vt:i4>5</vt:i4>
      </vt:variant>
      <vt:variant>
        <vt:lpwstr/>
      </vt:variant>
      <vt:variant>
        <vt:lpwstr>_Toc373493568</vt:lpwstr>
      </vt:variant>
      <vt:variant>
        <vt:i4>1114172</vt:i4>
      </vt:variant>
      <vt:variant>
        <vt:i4>629</vt:i4>
      </vt:variant>
      <vt:variant>
        <vt:i4>0</vt:i4>
      </vt:variant>
      <vt:variant>
        <vt:i4>5</vt:i4>
      </vt:variant>
      <vt:variant>
        <vt:lpwstr/>
      </vt:variant>
      <vt:variant>
        <vt:lpwstr>_Toc373493567</vt:lpwstr>
      </vt:variant>
      <vt:variant>
        <vt:i4>1114172</vt:i4>
      </vt:variant>
      <vt:variant>
        <vt:i4>623</vt:i4>
      </vt:variant>
      <vt:variant>
        <vt:i4>0</vt:i4>
      </vt:variant>
      <vt:variant>
        <vt:i4>5</vt:i4>
      </vt:variant>
      <vt:variant>
        <vt:lpwstr/>
      </vt:variant>
      <vt:variant>
        <vt:lpwstr>_Toc373493566</vt:lpwstr>
      </vt:variant>
      <vt:variant>
        <vt:i4>1114172</vt:i4>
      </vt:variant>
      <vt:variant>
        <vt:i4>617</vt:i4>
      </vt:variant>
      <vt:variant>
        <vt:i4>0</vt:i4>
      </vt:variant>
      <vt:variant>
        <vt:i4>5</vt:i4>
      </vt:variant>
      <vt:variant>
        <vt:lpwstr/>
      </vt:variant>
      <vt:variant>
        <vt:lpwstr>_Toc373493565</vt:lpwstr>
      </vt:variant>
      <vt:variant>
        <vt:i4>1114172</vt:i4>
      </vt:variant>
      <vt:variant>
        <vt:i4>611</vt:i4>
      </vt:variant>
      <vt:variant>
        <vt:i4>0</vt:i4>
      </vt:variant>
      <vt:variant>
        <vt:i4>5</vt:i4>
      </vt:variant>
      <vt:variant>
        <vt:lpwstr/>
      </vt:variant>
      <vt:variant>
        <vt:lpwstr>_Toc373493564</vt:lpwstr>
      </vt:variant>
      <vt:variant>
        <vt:i4>1114172</vt:i4>
      </vt:variant>
      <vt:variant>
        <vt:i4>605</vt:i4>
      </vt:variant>
      <vt:variant>
        <vt:i4>0</vt:i4>
      </vt:variant>
      <vt:variant>
        <vt:i4>5</vt:i4>
      </vt:variant>
      <vt:variant>
        <vt:lpwstr/>
      </vt:variant>
      <vt:variant>
        <vt:lpwstr>_Toc373493563</vt:lpwstr>
      </vt:variant>
      <vt:variant>
        <vt:i4>1114172</vt:i4>
      </vt:variant>
      <vt:variant>
        <vt:i4>599</vt:i4>
      </vt:variant>
      <vt:variant>
        <vt:i4>0</vt:i4>
      </vt:variant>
      <vt:variant>
        <vt:i4>5</vt:i4>
      </vt:variant>
      <vt:variant>
        <vt:lpwstr/>
      </vt:variant>
      <vt:variant>
        <vt:lpwstr>_Toc373493562</vt:lpwstr>
      </vt:variant>
      <vt:variant>
        <vt:i4>1114172</vt:i4>
      </vt:variant>
      <vt:variant>
        <vt:i4>593</vt:i4>
      </vt:variant>
      <vt:variant>
        <vt:i4>0</vt:i4>
      </vt:variant>
      <vt:variant>
        <vt:i4>5</vt:i4>
      </vt:variant>
      <vt:variant>
        <vt:lpwstr/>
      </vt:variant>
      <vt:variant>
        <vt:lpwstr>_Toc373493561</vt:lpwstr>
      </vt:variant>
      <vt:variant>
        <vt:i4>1114172</vt:i4>
      </vt:variant>
      <vt:variant>
        <vt:i4>587</vt:i4>
      </vt:variant>
      <vt:variant>
        <vt:i4>0</vt:i4>
      </vt:variant>
      <vt:variant>
        <vt:i4>5</vt:i4>
      </vt:variant>
      <vt:variant>
        <vt:lpwstr/>
      </vt:variant>
      <vt:variant>
        <vt:lpwstr>_Toc373493560</vt:lpwstr>
      </vt:variant>
      <vt:variant>
        <vt:i4>1179708</vt:i4>
      </vt:variant>
      <vt:variant>
        <vt:i4>581</vt:i4>
      </vt:variant>
      <vt:variant>
        <vt:i4>0</vt:i4>
      </vt:variant>
      <vt:variant>
        <vt:i4>5</vt:i4>
      </vt:variant>
      <vt:variant>
        <vt:lpwstr/>
      </vt:variant>
      <vt:variant>
        <vt:lpwstr>_Toc373493559</vt:lpwstr>
      </vt:variant>
      <vt:variant>
        <vt:i4>1179708</vt:i4>
      </vt:variant>
      <vt:variant>
        <vt:i4>575</vt:i4>
      </vt:variant>
      <vt:variant>
        <vt:i4>0</vt:i4>
      </vt:variant>
      <vt:variant>
        <vt:i4>5</vt:i4>
      </vt:variant>
      <vt:variant>
        <vt:lpwstr/>
      </vt:variant>
      <vt:variant>
        <vt:lpwstr>_Toc373493558</vt:lpwstr>
      </vt:variant>
      <vt:variant>
        <vt:i4>1179708</vt:i4>
      </vt:variant>
      <vt:variant>
        <vt:i4>569</vt:i4>
      </vt:variant>
      <vt:variant>
        <vt:i4>0</vt:i4>
      </vt:variant>
      <vt:variant>
        <vt:i4>5</vt:i4>
      </vt:variant>
      <vt:variant>
        <vt:lpwstr/>
      </vt:variant>
      <vt:variant>
        <vt:lpwstr>_Toc373493557</vt:lpwstr>
      </vt:variant>
      <vt:variant>
        <vt:i4>1179708</vt:i4>
      </vt:variant>
      <vt:variant>
        <vt:i4>563</vt:i4>
      </vt:variant>
      <vt:variant>
        <vt:i4>0</vt:i4>
      </vt:variant>
      <vt:variant>
        <vt:i4>5</vt:i4>
      </vt:variant>
      <vt:variant>
        <vt:lpwstr/>
      </vt:variant>
      <vt:variant>
        <vt:lpwstr>_Toc373493556</vt:lpwstr>
      </vt:variant>
      <vt:variant>
        <vt:i4>1179708</vt:i4>
      </vt:variant>
      <vt:variant>
        <vt:i4>557</vt:i4>
      </vt:variant>
      <vt:variant>
        <vt:i4>0</vt:i4>
      </vt:variant>
      <vt:variant>
        <vt:i4>5</vt:i4>
      </vt:variant>
      <vt:variant>
        <vt:lpwstr/>
      </vt:variant>
      <vt:variant>
        <vt:lpwstr>_Toc373493555</vt:lpwstr>
      </vt:variant>
      <vt:variant>
        <vt:i4>1179708</vt:i4>
      </vt:variant>
      <vt:variant>
        <vt:i4>551</vt:i4>
      </vt:variant>
      <vt:variant>
        <vt:i4>0</vt:i4>
      </vt:variant>
      <vt:variant>
        <vt:i4>5</vt:i4>
      </vt:variant>
      <vt:variant>
        <vt:lpwstr/>
      </vt:variant>
      <vt:variant>
        <vt:lpwstr>_Toc373493554</vt:lpwstr>
      </vt:variant>
      <vt:variant>
        <vt:i4>1179708</vt:i4>
      </vt:variant>
      <vt:variant>
        <vt:i4>545</vt:i4>
      </vt:variant>
      <vt:variant>
        <vt:i4>0</vt:i4>
      </vt:variant>
      <vt:variant>
        <vt:i4>5</vt:i4>
      </vt:variant>
      <vt:variant>
        <vt:lpwstr/>
      </vt:variant>
      <vt:variant>
        <vt:lpwstr>_Toc373493553</vt:lpwstr>
      </vt:variant>
      <vt:variant>
        <vt:i4>1179708</vt:i4>
      </vt:variant>
      <vt:variant>
        <vt:i4>539</vt:i4>
      </vt:variant>
      <vt:variant>
        <vt:i4>0</vt:i4>
      </vt:variant>
      <vt:variant>
        <vt:i4>5</vt:i4>
      </vt:variant>
      <vt:variant>
        <vt:lpwstr/>
      </vt:variant>
      <vt:variant>
        <vt:lpwstr>_Toc373493552</vt:lpwstr>
      </vt:variant>
      <vt:variant>
        <vt:i4>1179708</vt:i4>
      </vt:variant>
      <vt:variant>
        <vt:i4>533</vt:i4>
      </vt:variant>
      <vt:variant>
        <vt:i4>0</vt:i4>
      </vt:variant>
      <vt:variant>
        <vt:i4>5</vt:i4>
      </vt:variant>
      <vt:variant>
        <vt:lpwstr/>
      </vt:variant>
      <vt:variant>
        <vt:lpwstr>_Toc373493551</vt:lpwstr>
      </vt:variant>
      <vt:variant>
        <vt:i4>1179708</vt:i4>
      </vt:variant>
      <vt:variant>
        <vt:i4>527</vt:i4>
      </vt:variant>
      <vt:variant>
        <vt:i4>0</vt:i4>
      </vt:variant>
      <vt:variant>
        <vt:i4>5</vt:i4>
      </vt:variant>
      <vt:variant>
        <vt:lpwstr/>
      </vt:variant>
      <vt:variant>
        <vt:lpwstr>_Toc373493550</vt:lpwstr>
      </vt:variant>
      <vt:variant>
        <vt:i4>1245244</vt:i4>
      </vt:variant>
      <vt:variant>
        <vt:i4>521</vt:i4>
      </vt:variant>
      <vt:variant>
        <vt:i4>0</vt:i4>
      </vt:variant>
      <vt:variant>
        <vt:i4>5</vt:i4>
      </vt:variant>
      <vt:variant>
        <vt:lpwstr/>
      </vt:variant>
      <vt:variant>
        <vt:lpwstr>_Toc373493549</vt:lpwstr>
      </vt:variant>
      <vt:variant>
        <vt:i4>1245244</vt:i4>
      </vt:variant>
      <vt:variant>
        <vt:i4>515</vt:i4>
      </vt:variant>
      <vt:variant>
        <vt:i4>0</vt:i4>
      </vt:variant>
      <vt:variant>
        <vt:i4>5</vt:i4>
      </vt:variant>
      <vt:variant>
        <vt:lpwstr/>
      </vt:variant>
      <vt:variant>
        <vt:lpwstr>_Toc373493548</vt:lpwstr>
      </vt:variant>
      <vt:variant>
        <vt:i4>1245244</vt:i4>
      </vt:variant>
      <vt:variant>
        <vt:i4>509</vt:i4>
      </vt:variant>
      <vt:variant>
        <vt:i4>0</vt:i4>
      </vt:variant>
      <vt:variant>
        <vt:i4>5</vt:i4>
      </vt:variant>
      <vt:variant>
        <vt:lpwstr/>
      </vt:variant>
      <vt:variant>
        <vt:lpwstr>_Toc373493547</vt:lpwstr>
      </vt:variant>
      <vt:variant>
        <vt:i4>1245244</vt:i4>
      </vt:variant>
      <vt:variant>
        <vt:i4>503</vt:i4>
      </vt:variant>
      <vt:variant>
        <vt:i4>0</vt:i4>
      </vt:variant>
      <vt:variant>
        <vt:i4>5</vt:i4>
      </vt:variant>
      <vt:variant>
        <vt:lpwstr/>
      </vt:variant>
      <vt:variant>
        <vt:lpwstr>_Toc373493546</vt:lpwstr>
      </vt:variant>
      <vt:variant>
        <vt:i4>1245244</vt:i4>
      </vt:variant>
      <vt:variant>
        <vt:i4>497</vt:i4>
      </vt:variant>
      <vt:variant>
        <vt:i4>0</vt:i4>
      </vt:variant>
      <vt:variant>
        <vt:i4>5</vt:i4>
      </vt:variant>
      <vt:variant>
        <vt:lpwstr/>
      </vt:variant>
      <vt:variant>
        <vt:lpwstr>_Toc373493545</vt:lpwstr>
      </vt:variant>
      <vt:variant>
        <vt:i4>1245244</vt:i4>
      </vt:variant>
      <vt:variant>
        <vt:i4>491</vt:i4>
      </vt:variant>
      <vt:variant>
        <vt:i4>0</vt:i4>
      </vt:variant>
      <vt:variant>
        <vt:i4>5</vt:i4>
      </vt:variant>
      <vt:variant>
        <vt:lpwstr/>
      </vt:variant>
      <vt:variant>
        <vt:lpwstr>_Toc373493544</vt:lpwstr>
      </vt:variant>
      <vt:variant>
        <vt:i4>1245244</vt:i4>
      </vt:variant>
      <vt:variant>
        <vt:i4>485</vt:i4>
      </vt:variant>
      <vt:variant>
        <vt:i4>0</vt:i4>
      </vt:variant>
      <vt:variant>
        <vt:i4>5</vt:i4>
      </vt:variant>
      <vt:variant>
        <vt:lpwstr/>
      </vt:variant>
      <vt:variant>
        <vt:lpwstr>_Toc373493543</vt:lpwstr>
      </vt:variant>
      <vt:variant>
        <vt:i4>1245244</vt:i4>
      </vt:variant>
      <vt:variant>
        <vt:i4>479</vt:i4>
      </vt:variant>
      <vt:variant>
        <vt:i4>0</vt:i4>
      </vt:variant>
      <vt:variant>
        <vt:i4>5</vt:i4>
      </vt:variant>
      <vt:variant>
        <vt:lpwstr/>
      </vt:variant>
      <vt:variant>
        <vt:lpwstr>_Toc373493542</vt:lpwstr>
      </vt:variant>
      <vt:variant>
        <vt:i4>1245244</vt:i4>
      </vt:variant>
      <vt:variant>
        <vt:i4>473</vt:i4>
      </vt:variant>
      <vt:variant>
        <vt:i4>0</vt:i4>
      </vt:variant>
      <vt:variant>
        <vt:i4>5</vt:i4>
      </vt:variant>
      <vt:variant>
        <vt:lpwstr/>
      </vt:variant>
      <vt:variant>
        <vt:lpwstr>_Toc373493541</vt:lpwstr>
      </vt:variant>
      <vt:variant>
        <vt:i4>1245244</vt:i4>
      </vt:variant>
      <vt:variant>
        <vt:i4>467</vt:i4>
      </vt:variant>
      <vt:variant>
        <vt:i4>0</vt:i4>
      </vt:variant>
      <vt:variant>
        <vt:i4>5</vt:i4>
      </vt:variant>
      <vt:variant>
        <vt:lpwstr/>
      </vt:variant>
      <vt:variant>
        <vt:lpwstr>_Toc373493540</vt:lpwstr>
      </vt:variant>
      <vt:variant>
        <vt:i4>1310780</vt:i4>
      </vt:variant>
      <vt:variant>
        <vt:i4>461</vt:i4>
      </vt:variant>
      <vt:variant>
        <vt:i4>0</vt:i4>
      </vt:variant>
      <vt:variant>
        <vt:i4>5</vt:i4>
      </vt:variant>
      <vt:variant>
        <vt:lpwstr/>
      </vt:variant>
      <vt:variant>
        <vt:lpwstr>_Toc373493539</vt:lpwstr>
      </vt:variant>
      <vt:variant>
        <vt:i4>1310780</vt:i4>
      </vt:variant>
      <vt:variant>
        <vt:i4>455</vt:i4>
      </vt:variant>
      <vt:variant>
        <vt:i4>0</vt:i4>
      </vt:variant>
      <vt:variant>
        <vt:i4>5</vt:i4>
      </vt:variant>
      <vt:variant>
        <vt:lpwstr/>
      </vt:variant>
      <vt:variant>
        <vt:lpwstr>_Toc373493538</vt:lpwstr>
      </vt:variant>
      <vt:variant>
        <vt:i4>1310780</vt:i4>
      </vt:variant>
      <vt:variant>
        <vt:i4>449</vt:i4>
      </vt:variant>
      <vt:variant>
        <vt:i4>0</vt:i4>
      </vt:variant>
      <vt:variant>
        <vt:i4>5</vt:i4>
      </vt:variant>
      <vt:variant>
        <vt:lpwstr/>
      </vt:variant>
      <vt:variant>
        <vt:lpwstr>_Toc373493537</vt:lpwstr>
      </vt:variant>
      <vt:variant>
        <vt:i4>1310780</vt:i4>
      </vt:variant>
      <vt:variant>
        <vt:i4>443</vt:i4>
      </vt:variant>
      <vt:variant>
        <vt:i4>0</vt:i4>
      </vt:variant>
      <vt:variant>
        <vt:i4>5</vt:i4>
      </vt:variant>
      <vt:variant>
        <vt:lpwstr/>
      </vt:variant>
      <vt:variant>
        <vt:lpwstr>_Toc373493536</vt:lpwstr>
      </vt:variant>
      <vt:variant>
        <vt:i4>1310780</vt:i4>
      </vt:variant>
      <vt:variant>
        <vt:i4>437</vt:i4>
      </vt:variant>
      <vt:variant>
        <vt:i4>0</vt:i4>
      </vt:variant>
      <vt:variant>
        <vt:i4>5</vt:i4>
      </vt:variant>
      <vt:variant>
        <vt:lpwstr/>
      </vt:variant>
      <vt:variant>
        <vt:lpwstr>_Toc373493535</vt:lpwstr>
      </vt:variant>
      <vt:variant>
        <vt:i4>1310780</vt:i4>
      </vt:variant>
      <vt:variant>
        <vt:i4>431</vt:i4>
      </vt:variant>
      <vt:variant>
        <vt:i4>0</vt:i4>
      </vt:variant>
      <vt:variant>
        <vt:i4>5</vt:i4>
      </vt:variant>
      <vt:variant>
        <vt:lpwstr/>
      </vt:variant>
      <vt:variant>
        <vt:lpwstr>_Toc373493534</vt:lpwstr>
      </vt:variant>
      <vt:variant>
        <vt:i4>1310780</vt:i4>
      </vt:variant>
      <vt:variant>
        <vt:i4>425</vt:i4>
      </vt:variant>
      <vt:variant>
        <vt:i4>0</vt:i4>
      </vt:variant>
      <vt:variant>
        <vt:i4>5</vt:i4>
      </vt:variant>
      <vt:variant>
        <vt:lpwstr/>
      </vt:variant>
      <vt:variant>
        <vt:lpwstr>_Toc373493533</vt:lpwstr>
      </vt:variant>
      <vt:variant>
        <vt:i4>1310780</vt:i4>
      </vt:variant>
      <vt:variant>
        <vt:i4>416</vt:i4>
      </vt:variant>
      <vt:variant>
        <vt:i4>0</vt:i4>
      </vt:variant>
      <vt:variant>
        <vt:i4>5</vt:i4>
      </vt:variant>
      <vt:variant>
        <vt:lpwstr/>
      </vt:variant>
      <vt:variant>
        <vt:lpwstr>_Toc373493532</vt:lpwstr>
      </vt:variant>
      <vt:variant>
        <vt:i4>1310780</vt:i4>
      </vt:variant>
      <vt:variant>
        <vt:i4>410</vt:i4>
      </vt:variant>
      <vt:variant>
        <vt:i4>0</vt:i4>
      </vt:variant>
      <vt:variant>
        <vt:i4>5</vt:i4>
      </vt:variant>
      <vt:variant>
        <vt:lpwstr/>
      </vt:variant>
      <vt:variant>
        <vt:lpwstr>_Toc373493531</vt:lpwstr>
      </vt:variant>
      <vt:variant>
        <vt:i4>1310780</vt:i4>
      </vt:variant>
      <vt:variant>
        <vt:i4>404</vt:i4>
      </vt:variant>
      <vt:variant>
        <vt:i4>0</vt:i4>
      </vt:variant>
      <vt:variant>
        <vt:i4>5</vt:i4>
      </vt:variant>
      <vt:variant>
        <vt:lpwstr/>
      </vt:variant>
      <vt:variant>
        <vt:lpwstr>_Toc373493530</vt:lpwstr>
      </vt:variant>
      <vt:variant>
        <vt:i4>1376316</vt:i4>
      </vt:variant>
      <vt:variant>
        <vt:i4>398</vt:i4>
      </vt:variant>
      <vt:variant>
        <vt:i4>0</vt:i4>
      </vt:variant>
      <vt:variant>
        <vt:i4>5</vt:i4>
      </vt:variant>
      <vt:variant>
        <vt:lpwstr/>
      </vt:variant>
      <vt:variant>
        <vt:lpwstr>_Toc373493529</vt:lpwstr>
      </vt:variant>
      <vt:variant>
        <vt:i4>1376316</vt:i4>
      </vt:variant>
      <vt:variant>
        <vt:i4>392</vt:i4>
      </vt:variant>
      <vt:variant>
        <vt:i4>0</vt:i4>
      </vt:variant>
      <vt:variant>
        <vt:i4>5</vt:i4>
      </vt:variant>
      <vt:variant>
        <vt:lpwstr/>
      </vt:variant>
      <vt:variant>
        <vt:lpwstr>_Toc373493528</vt:lpwstr>
      </vt:variant>
      <vt:variant>
        <vt:i4>1376316</vt:i4>
      </vt:variant>
      <vt:variant>
        <vt:i4>386</vt:i4>
      </vt:variant>
      <vt:variant>
        <vt:i4>0</vt:i4>
      </vt:variant>
      <vt:variant>
        <vt:i4>5</vt:i4>
      </vt:variant>
      <vt:variant>
        <vt:lpwstr/>
      </vt:variant>
      <vt:variant>
        <vt:lpwstr>_Toc373493527</vt:lpwstr>
      </vt:variant>
      <vt:variant>
        <vt:i4>1376316</vt:i4>
      </vt:variant>
      <vt:variant>
        <vt:i4>380</vt:i4>
      </vt:variant>
      <vt:variant>
        <vt:i4>0</vt:i4>
      </vt:variant>
      <vt:variant>
        <vt:i4>5</vt:i4>
      </vt:variant>
      <vt:variant>
        <vt:lpwstr/>
      </vt:variant>
      <vt:variant>
        <vt:lpwstr>_Toc373493526</vt:lpwstr>
      </vt:variant>
      <vt:variant>
        <vt:i4>1376316</vt:i4>
      </vt:variant>
      <vt:variant>
        <vt:i4>374</vt:i4>
      </vt:variant>
      <vt:variant>
        <vt:i4>0</vt:i4>
      </vt:variant>
      <vt:variant>
        <vt:i4>5</vt:i4>
      </vt:variant>
      <vt:variant>
        <vt:lpwstr/>
      </vt:variant>
      <vt:variant>
        <vt:lpwstr>_Toc373493525</vt:lpwstr>
      </vt:variant>
      <vt:variant>
        <vt:i4>1376316</vt:i4>
      </vt:variant>
      <vt:variant>
        <vt:i4>368</vt:i4>
      </vt:variant>
      <vt:variant>
        <vt:i4>0</vt:i4>
      </vt:variant>
      <vt:variant>
        <vt:i4>5</vt:i4>
      </vt:variant>
      <vt:variant>
        <vt:lpwstr/>
      </vt:variant>
      <vt:variant>
        <vt:lpwstr>_Toc373493524</vt:lpwstr>
      </vt:variant>
      <vt:variant>
        <vt:i4>1376316</vt:i4>
      </vt:variant>
      <vt:variant>
        <vt:i4>362</vt:i4>
      </vt:variant>
      <vt:variant>
        <vt:i4>0</vt:i4>
      </vt:variant>
      <vt:variant>
        <vt:i4>5</vt:i4>
      </vt:variant>
      <vt:variant>
        <vt:lpwstr/>
      </vt:variant>
      <vt:variant>
        <vt:lpwstr>_Toc373493523</vt:lpwstr>
      </vt:variant>
      <vt:variant>
        <vt:i4>1376316</vt:i4>
      </vt:variant>
      <vt:variant>
        <vt:i4>356</vt:i4>
      </vt:variant>
      <vt:variant>
        <vt:i4>0</vt:i4>
      </vt:variant>
      <vt:variant>
        <vt:i4>5</vt:i4>
      </vt:variant>
      <vt:variant>
        <vt:lpwstr/>
      </vt:variant>
      <vt:variant>
        <vt:lpwstr>_Toc373493522</vt:lpwstr>
      </vt:variant>
      <vt:variant>
        <vt:i4>1376316</vt:i4>
      </vt:variant>
      <vt:variant>
        <vt:i4>350</vt:i4>
      </vt:variant>
      <vt:variant>
        <vt:i4>0</vt:i4>
      </vt:variant>
      <vt:variant>
        <vt:i4>5</vt:i4>
      </vt:variant>
      <vt:variant>
        <vt:lpwstr/>
      </vt:variant>
      <vt:variant>
        <vt:lpwstr>_Toc373493521</vt:lpwstr>
      </vt:variant>
      <vt:variant>
        <vt:i4>1376316</vt:i4>
      </vt:variant>
      <vt:variant>
        <vt:i4>344</vt:i4>
      </vt:variant>
      <vt:variant>
        <vt:i4>0</vt:i4>
      </vt:variant>
      <vt:variant>
        <vt:i4>5</vt:i4>
      </vt:variant>
      <vt:variant>
        <vt:lpwstr/>
      </vt:variant>
      <vt:variant>
        <vt:lpwstr>_Toc373493520</vt:lpwstr>
      </vt:variant>
      <vt:variant>
        <vt:i4>1441852</vt:i4>
      </vt:variant>
      <vt:variant>
        <vt:i4>338</vt:i4>
      </vt:variant>
      <vt:variant>
        <vt:i4>0</vt:i4>
      </vt:variant>
      <vt:variant>
        <vt:i4>5</vt:i4>
      </vt:variant>
      <vt:variant>
        <vt:lpwstr/>
      </vt:variant>
      <vt:variant>
        <vt:lpwstr>_Toc373493519</vt:lpwstr>
      </vt:variant>
      <vt:variant>
        <vt:i4>1441852</vt:i4>
      </vt:variant>
      <vt:variant>
        <vt:i4>332</vt:i4>
      </vt:variant>
      <vt:variant>
        <vt:i4>0</vt:i4>
      </vt:variant>
      <vt:variant>
        <vt:i4>5</vt:i4>
      </vt:variant>
      <vt:variant>
        <vt:lpwstr/>
      </vt:variant>
      <vt:variant>
        <vt:lpwstr>_Toc373493518</vt:lpwstr>
      </vt:variant>
      <vt:variant>
        <vt:i4>1441852</vt:i4>
      </vt:variant>
      <vt:variant>
        <vt:i4>326</vt:i4>
      </vt:variant>
      <vt:variant>
        <vt:i4>0</vt:i4>
      </vt:variant>
      <vt:variant>
        <vt:i4>5</vt:i4>
      </vt:variant>
      <vt:variant>
        <vt:lpwstr/>
      </vt:variant>
      <vt:variant>
        <vt:lpwstr>_Toc373493517</vt:lpwstr>
      </vt:variant>
      <vt:variant>
        <vt:i4>1441852</vt:i4>
      </vt:variant>
      <vt:variant>
        <vt:i4>320</vt:i4>
      </vt:variant>
      <vt:variant>
        <vt:i4>0</vt:i4>
      </vt:variant>
      <vt:variant>
        <vt:i4>5</vt:i4>
      </vt:variant>
      <vt:variant>
        <vt:lpwstr/>
      </vt:variant>
      <vt:variant>
        <vt:lpwstr>_Toc373493516</vt:lpwstr>
      </vt:variant>
      <vt:variant>
        <vt:i4>1441852</vt:i4>
      </vt:variant>
      <vt:variant>
        <vt:i4>314</vt:i4>
      </vt:variant>
      <vt:variant>
        <vt:i4>0</vt:i4>
      </vt:variant>
      <vt:variant>
        <vt:i4>5</vt:i4>
      </vt:variant>
      <vt:variant>
        <vt:lpwstr/>
      </vt:variant>
      <vt:variant>
        <vt:lpwstr>_Toc373493515</vt:lpwstr>
      </vt:variant>
      <vt:variant>
        <vt:i4>1441852</vt:i4>
      </vt:variant>
      <vt:variant>
        <vt:i4>308</vt:i4>
      </vt:variant>
      <vt:variant>
        <vt:i4>0</vt:i4>
      </vt:variant>
      <vt:variant>
        <vt:i4>5</vt:i4>
      </vt:variant>
      <vt:variant>
        <vt:lpwstr/>
      </vt:variant>
      <vt:variant>
        <vt:lpwstr>_Toc373493514</vt:lpwstr>
      </vt:variant>
      <vt:variant>
        <vt:i4>1441852</vt:i4>
      </vt:variant>
      <vt:variant>
        <vt:i4>302</vt:i4>
      </vt:variant>
      <vt:variant>
        <vt:i4>0</vt:i4>
      </vt:variant>
      <vt:variant>
        <vt:i4>5</vt:i4>
      </vt:variant>
      <vt:variant>
        <vt:lpwstr/>
      </vt:variant>
      <vt:variant>
        <vt:lpwstr>_Toc373493513</vt:lpwstr>
      </vt:variant>
      <vt:variant>
        <vt:i4>1441852</vt:i4>
      </vt:variant>
      <vt:variant>
        <vt:i4>296</vt:i4>
      </vt:variant>
      <vt:variant>
        <vt:i4>0</vt:i4>
      </vt:variant>
      <vt:variant>
        <vt:i4>5</vt:i4>
      </vt:variant>
      <vt:variant>
        <vt:lpwstr/>
      </vt:variant>
      <vt:variant>
        <vt:lpwstr>_Toc373493512</vt:lpwstr>
      </vt:variant>
      <vt:variant>
        <vt:i4>1441852</vt:i4>
      </vt:variant>
      <vt:variant>
        <vt:i4>290</vt:i4>
      </vt:variant>
      <vt:variant>
        <vt:i4>0</vt:i4>
      </vt:variant>
      <vt:variant>
        <vt:i4>5</vt:i4>
      </vt:variant>
      <vt:variant>
        <vt:lpwstr/>
      </vt:variant>
      <vt:variant>
        <vt:lpwstr>_Toc373493511</vt:lpwstr>
      </vt:variant>
      <vt:variant>
        <vt:i4>1441852</vt:i4>
      </vt:variant>
      <vt:variant>
        <vt:i4>284</vt:i4>
      </vt:variant>
      <vt:variant>
        <vt:i4>0</vt:i4>
      </vt:variant>
      <vt:variant>
        <vt:i4>5</vt:i4>
      </vt:variant>
      <vt:variant>
        <vt:lpwstr/>
      </vt:variant>
      <vt:variant>
        <vt:lpwstr>_Toc373493510</vt:lpwstr>
      </vt:variant>
      <vt:variant>
        <vt:i4>1507388</vt:i4>
      </vt:variant>
      <vt:variant>
        <vt:i4>278</vt:i4>
      </vt:variant>
      <vt:variant>
        <vt:i4>0</vt:i4>
      </vt:variant>
      <vt:variant>
        <vt:i4>5</vt:i4>
      </vt:variant>
      <vt:variant>
        <vt:lpwstr/>
      </vt:variant>
      <vt:variant>
        <vt:lpwstr>_Toc373493509</vt:lpwstr>
      </vt:variant>
      <vt:variant>
        <vt:i4>1507388</vt:i4>
      </vt:variant>
      <vt:variant>
        <vt:i4>272</vt:i4>
      </vt:variant>
      <vt:variant>
        <vt:i4>0</vt:i4>
      </vt:variant>
      <vt:variant>
        <vt:i4>5</vt:i4>
      </vt:variant>
      <vt:variant>
        <vt:lpwstr/>
      </vt:variant>
      <vt:variant>
        <vt:lpwstr>_Toc373493508</vt:lpwstr>
      </vt:variant>
      <vt:variant>
        <vt:i4>1507388</vt:i4>
      </vt:variant>
      <vt:variant>
        <vt:i4>266</vt:i4>
      </vt:variant>
      <vt:variant>
        <vt:i4>0</vt:i4>
      </vt:variant>
      <vt:variant>
        <vt:i4>5</vt:i4>
      </vt:variant>
      <vt:variant>
        <vt:lpwstr/>
      </vt:variant>
      <vt:variant>
        <vt:lpwstr>_Toc373493507</vt:lpwstr>
      </vt:variant>
      <vt:variant>
        <vt:i4>1507388</vt:i4>
      </vt:variant>
      <vt:variant>
        <vt:i4>260</vt:i4>
      </vt:variant>
      <vt:variant>
        <vt:i4>0</vt:i4>
      </vt:variant>
      <vt:variant>
        <vt:i4>5</vt:i4>
      </vt:variant>
      <vt:variant>
        <vt:lpwstr/>
      </vt:variant>
      <vt:variant>
        <vt:lpwstr>_Toc373493506</vt:lpwstr>
      </vt:variant>
      <vt:variant>
        <vt:i4>1507388</vt:i4>
      </vt:variant>
      <vt:variant>
        <vt:i4>254</vt:i4>
      </vt:variant>
      <vt:variant>
        <vt:i4>0</vt:i4>
      </vt:variant>
      <vt:variant>
        <vt:i4>5</vt:i4>
      </vt:variant>
      <vt:variant>
        <vt:lpwstr/>
      </vt:variant>
      <vt:variant>
        <vt:lpwstr>_Toc373493505</vt:lpwstr>
      </vt:variant>
      <vt:variant>
        <vt:i4>1507388</vt:i4>
      </vt:variant>
      <vt:variant>
        <vt:i4>248</vt:i4>
      </vt:variant>
      <vt:variant>
        <vt:i4>0</vt:i4>
      </vt:variant>
      <vt:variant>
        <vt:i4>5</vt:i4>
      </vt:variant>
      <vt:variant>
        <vt:lpwstr/>
      </vt:variant>
      <vt:variant>
        <vt:lpwstr>_Toc373493504</vt:lpwstr>
      </vt:variant>
      <vt:variant>
        <vt:i4>1507388</vt:i4>
      </vt:variant>
      <vt:variant>
        <vt:i4>242</vt:i4>
      </vt:variant>
      <vt:variant>
        <vt:i4>0</vt:i4>
      </vt:variant>
      <vt:variant>
        <vt:i4>5</vt:i4>
      </vt:variant>
      <vt:variant>
        <vt:lpwstr/>
      </vt:variant>
      <vt:variant>
        <vt:lpwstr>_Toc373493503</vt:lpwstr>
      </vt:variant>
      <vt:variant>
        <vt:i4>1507388</vt:i4>
      </vt:variant>
      <vt:variant>
        <vt:i4>236</vt:i4>
      </vt:variant>
      <vt:variant>
        <vt:i4>0</vt:i4>
      </vt:variant>
      <vt:variant>
        <vt:i4>5</vt:i4>
      </vt:variant>
      <vt:variant>
        <vt:lpwstr/>
      </vt:variant>
      <vt:variant>
        <vt:lpwstr>_Toc373493502</vt:lpwstr>
      </vt:variant>
      <vt:variant>
        <vt:i4>1507388</vt:i4>
      </vt:variant>
      <vt:variant>
        <vt:i4>230</vt:i4>
      </vt:variant>
      <vt:variant>
        <vt:i4>0</vt:i4>
      </vt:variant>
      <vt:variant>
        <vt:i4>5</vt:i4>
      </vt:variant>
      <vt:variant>
        <vt:lpwstr/>
      </vt:variant>
      <vt:variant>
        <vt:lpwstr>_Toc373493501</vt:lpwstr>
      </vt:variant>
      <vt:variant>
        <vt:i4>1507388</vt:i4>
      </vt:variant>
      <vt:variant>
        <vt:i4>224</vt:i4>
      </vt:variant>
      <vt:variant>
        <vt:i4>0</vt:i4>
      </vt:variant>
      <vt:variant>
        <vt:i4>5</vt:i4>
      </vt:variant>
      <vt:variant>
        <vt:lpwstr/>
      </vt:variant>
      <vt:variant>
        <vt:lpwstr>_Toc373493500</vt:lpwstr>
      </vt:variant>
      <vt:variant>
        <vt:i4>1966141</vt:i4>
      </vt:variant>
      <vt:variant>
        <vt:i4>218</vt:i4>
      </vt:variant>
      <vt:variant>
        <vt:i4>0</vt:i4>
      </vt:variant>
      <vt:variant>
        <vt:i4>5</vt:i4>
      </vt:variant>
      <vt:variant>
        <vt:lpwstr/>
      </vt:variant>
      <vt:variant>
        <vt:lpwstr>_Toc373493499</vt:lpwstr>
      </vt:variant>
      <vt:variant>
        <vt:i4>1966141</vt:i4>
      </vt:variant>
      <vt:variant>
        <vt:i4>212</vt:i4>
      </vt:variant>
      <vt:variant>
        <vt:i4>0</vt:i4>
      </vt:variant>
      <vt:variant>
        <vt:i4>5</vt:i4>
      </vt:variant>
      <vt:variant>
        <vt:lpwstr/>
      </vt:variant>
      <vt:variant>
        <vt:lpwstr>_Toc373493498</vt:lpwstr>
      </vt:variant>
      <vt:variant>
        <vt:i4>1966141</vt:i4>
      </vt:variant>
      <vt:variant>
        <vt:i4>206</vt:i4>
      </vt:variant>
      <vt:variant>
        <vt:i4>0</vt:i4>
      </vt:variant>
      <vt:variant>
        <vt:i4>5</vt:i4>
      </vt:variant>
      <vt:variant>
        <vt:lpwstr/>
      </vt:variant>
      <vt:variant>
        <vt:lpwstr>_Toc373493497</vt:lpwstr>
      </vt:variant>
      <vt:variant>
        <vt:i4>1966141</vt:i4>
      </vt:variant>
      <vt:variant>
        <vt:i4>200</vt:i4>
      </vt:variant>
      <vt:variant>
        <vt:i4>0</vt:i4>
      </vt:variant>
      <vt:variant>
        <vt:i4>5</vt:i4>
      </vt:variant>
      <vt:variant>
        <vt:lpwstr/>
      </vt:variant>
      <vt:variant>
        <vt:lpwstr>_Toc373493496</vt:lpwstr>
      </vt:variant>
      <vt:variant>
        <vt:i4>1966141</vt:i4>
      </vt:variant>
      <vt:variant>
        <vt:i4>194</vt:i4>
      </vt:variant>
      <vt:variant>
        <vt:i4>0</vt:i4>
      </vt:variant>
      <vt:variant>
        <vt:i4>5</vt:i4>
      </vt:variant>
      <vt:variant>
        <vt:lpwstr/>
      </vt:variant>
      <vt:variant>
        <vt:lpwstr>_Toc373493495</vt:lpwstr>
      </vt:variant>
      <vt:variant>
        <vt:i4>1966141</vt:i4>
      </vt:variant>
      <vt:variant>
        <vt:i4>188</vt:i4>
      </vt:variant>
      <vt:variant>
        <vt:i4>0</vt:i4>
      </vt:variant>
      <vt:variant>
        <vt:i4>5</vt:i4>
      </vt:variant>
      <vt:variant>
        <vt:lpwstr/>
      </vt:variant>
      <vt:variant>
        <vt:lpwstr>_Toc373493494</vt:lpwstr>
      </vt:variant>
      <vt:variant>
        <vt:i4>1966141</vt:i4>
      </vt:variant>
      <vt:variant>
        <vt:i4>182</vt:i4>
      </vt:variant>
      <vt:variant>
        <vt:i4>0</vt:i4>
      </vt:variant>
      <vt:variant>
        <vt:i4>5</vt:i4>
      </vt:variant>
      <vt:variant>
        <vt:lpwstr/>
      </vt:variant>
      <vt:variant>
        <vt:lpwstr>_Toc373493493</vt:lpwstr>
      </vt:variant>
      <vt:variant>
        <vt:i4>1966141</vt:i4>
      </vt:variant>
      <vt:variant>
        <vt:i4>176</vt:i4>
      </vt:variant>
      <vt:variant>
        <vt:i4>0</vt:i4>
      </vt:variant>
      <vt:variant>
        <vt:i4>5</vt:i4>
      </vt:variant>
      <vt:variant>
        <vt:lpwstr/>
      </vt:variant>
      <vt:variant>
        <vt:lpwstr>_Toc373493492</vt:lpwstr>
      </vt:variant>
      <vt:variant>
        <vt:i4>1966141</vt:i4>
      </vt:variant>
      <vt:variant>
        <vt:i4>170</vt:i4>
      </vt:variant>
      <vt:variant>
        <vt:i4>0</vt:i4>
      </vt:variant>
      <vt:variant>
        <vt:i4>5</vt:i4>
      </vt:variant>
      <vt:variant>
        <vt:lpwstr/>
      </vt:variant>
      <vt:variant>
        <vt:lpwstr>_Toc373493491</vt:lpwstr>
      </vt:variant>
      <vt:variant>
        <vt:i4>1966141</vt:i4>
      </vt:variant>
      <vt:variant>
        <vt:i4>164</vt:i4>
      </vt:variant>
      <vt:variant>
        <vt:i4>0</vt:i4>
      </vt:variant>
      <vt:variant>
        <vt:i4>5</vt:i4>
      </vt:variant>
      <vt:variant>
        <vt:lpwstr/>
      </vt:variant>
      <vt:variant>
        <vt:lpwstr>_Toc373493490</vt:lpwstr>
      </vt:variant>
      <vt:variant>
        <vt:i4>2031677</vt:i4>
      </vt:variant>
      <vt:variant>
        <vt:i4>158</vt:i4>
      </vt:variant>
      <vt:variant>
        <vt:i4>0</vt:i4>
      </vt:variant>
      <vt:variant>
        <vt:i4>5</vt:i4>
      </vt:variant>
      <vt:variant>
        <vt:lpwstr/>
      </vt:variant>
      <vt:variant>
        <vt:lpwstr>_Toc373493489</vt:lpwstr>
      </vt:variant>
      <vt:variant>
        <vt:i4>2031677</vt:i4>
      </vt:variant>
      <vt:variant>
        <vt:i4>152</vt:i4>
      </vt:variant>
      <vt:variant>
        <vt:i4>0</vt:i4>
      </vt:variant>
      <vt:variant>
        <vt:i4>5</vt:i4>
      </vt:variant>
      <vt:variant>
        <vt:lpwstr/>
      </vt:variant>
      <vt:variant>
        <vt:lpwstr>_Toc373493488</vt:lpwstr>
      </vt:variant>
      <vt:variant>
        <vt:i4>2031677</vt:i4>
      </vt:variant>
      <vt:variant>
        <vt:i4>146</vt:i4>
      </vt:variant>
      <vt:variant>
        <vt:i4>0</vt:i4>
      </vt:variant>
      <vt:variant>
        <vt:i4>5</vt:i4>
      </vt:variant>
      <vt:variant>
        <vt:lpwstr/>
      </vt:variant>
      <vt:variant>
        <vt:lpwstr>_Toc373493487</vt:lpwstr>
      </vt:variant>
      <vt:variant>
        <vt:i4>2031677</vt:i4>
      </vt:variant>
      <vt:variant>
        <vt:i4>140</vt:i4>
      </vt:variant>
      <vt:variant>
        <vt:i4>0</vt:i4>
      </vt:variant>
      <vt:variant>
        <vt:i4>5</vt:i4>
      </vt:variant>
      <vt:variant>
        <vt:lpwstr/>
      </vt:variant>
      <vt:variant>
        <vt:lpwstr>_Toc373493486</vt:lpwstr>
      </vt:variant>
      <vt:variant>
        <vt:i4>2031677</vt:i4>
      </vt:variant>
      <vt:variant>
        <vt:i4>134</vt:i4>
      </vt:variant>
      <vt:variant>
        <vt:i4>0</vt:i4>
      </vt:variant>
      <vt:variant>
        <vt:i4>5</vt:i4>
      </vt:variant>
      <vt:variant>
        <vt:lpwstr/>
      </vt:variant>
      <vt:variant>
        <vt:lpwstr>_Toc373493485</vt:lpwstr>
      </vt:variant>
      <vt:variant>
        <vt:i4>2031677</vt:i4>
      </vt:variant>
      <vt:variant>
        <vt:i4>128</vt:i4>
      </vt:variant>
      <vt:variant>
        <vt:i4>0</vt:i4>
      </vt:variant>
      <vt:variant>
        <vt:i4>5</vt:i4>
      </vt:variant>
      <vt:variant>
        <vt:lpwstr/>
      </vt:variant>
      <vt:variant>
        <vt:lpwstr>_Toc373493484</vt:lpwstr>
      </vt:variant>
      <vt:variant>
        <vt:i4>2031677</vt:i4>
      </vt:variant>
      <vt:variant>
        <vt:i4>122</vt:i4>
      </vt:variant>
      <vt:variant>
        <vt:i4>0</vt:i4>
      </vt:variant>
      <vt:variant>
        <vt:i4>5</vt:i4>
      </vt:variant>
      <vt:variant>
        <vt:lpwstr/>
      </vt:variant>
      <vt:variant>
        <vt:lpwstr>_Toc373493483</vt:lpwstr>
      </vt:variant>
      <vt:variant>
        <vt:i4>2031677</vt:i4>
      </vt:variant>
      <vt:variant>
        <vt:i4>116</vt:i4>
      </vt:variant>
      <vt:variant>
        <vt:i4>0</vt:i4>
      </vt:variant>
      <vt:variant>
        <vt:i4>5</vt:i4>
      </vt:variant>
      <vt:variant>
        <vt:lpwstr/>
      </vt:variant>
      <vt:variant>
        <vt:lpwstr>_Toc373493482</vt:lpwstr>
      </vt:variant>
      <vt:variant>
        <vt:i4>2031677</vt:i4>
      </vt:variant>
      <vt:variant>
        <vt:i4>110</vt:i4>
      </vt:variant>
      <vt:variant>
        <vt:i4>0</vt:i4>
      </vt:variant>
      <vt:variant>
        <vt:i4>5</vt:i4>
      </vt:variant>
      <vt:variant>
        <vt:lpwstr/>
      </vt:variant>
      <vt:variant>
        <vt:lpwstr>_Toc373493481</vt:lpwstr>
      </vt:variant>
      <vt:variant>
        <vt:i4>2031677</vt:i4>
      </vt:variant>
      <vt:variant>
        <vt:i4>104</vt:i4>
      </vt:variant>
      <vt:variant>
        <vt:i4>0</vt:i4>
      </vt:variant>
      <vt:variant>
        <vt:i4>5</vt:i4>
      </vt:variant>
      <vt:variant>
        <vt:lpwstr/>
      </vt:variant>
      <vt:variant>
        <vt:lpwstr>_Toc373493480</vt:lpwstr>
      </vt:variant>
      <vt:variant>
        <vt:i4>1048637</vt:i4>
      </vt:variant>
      <vt:variant>
        <vt:i4>98</vt:i4>
      </vt:variant>
      <vt:variant>
        <vt:i4>0</vt:i4>
      </vt:variant>
      <vt:variant>
        <vt:i4>5</vt:i4>
      </vt:variant>
      <vt:variant>
        <vt:lpwstr/>
      </vt:variant>
      <vt:variant>
        <vt:lpwstr>_Toc373493479</vt:lpwstr>
      </vt:variant>
      <vt:variant>
        <vt:i4>1048637</vt:i4>
      </vt:variant>
      <vt:variant>
        <vt:i4>92</vt:i4>
      </vt:variant>
      <vt:variant>
        <vt:i4>0</vt:i4>
      </vt:variant>
      <vt:variant>
        <vt:i4>5</vt:i4>
      </vt:variant>
      <vt:variant>
        <vt:lpwstr/>
      </vt:variant>
      <vt:variant>
        <vt:lpwstr>_Toc373493478</vt:lpwstr>
      </vt:variant>
      <vt:variant>
        <vt:i4>1048637</vt:i4>
      </vt:variant>
      <vt:variant>
        <vt:i4>86</vt:i4>
      </vt:variant>
      <vt:variant>
        <vt:i4>0</vt:i4>
      </vt:variant>
      <vt:variant>
        <vt:i4>5</vt:i4>
      </vt:variant>
      <vt:variant>
        <vt:lpwstr/>
      </vt:variant>
      <vt:variant>
        <vt:lpwstr>_Toc373493477</vt:lpwstr>
      </vt:variant>
      <vt:variant>
        <vt:i4>1048637</vt:i4>
      </vt:variant>
      <vt:variant>
        <vt:i4>80</vt:i4>
      </vt:variant>
      <vt:variant>
        <vt:i4>0</vt:i4>
      </vt:variant>
      <vt:variant>
        <vt:i4>5</vt:i4>
      </vt:variant>
      <vt:variant>
        <vt:lpwstr/>
      </vt:variant>
      <vt:variant>
        <vt:lpwstr>_Toc373493476</vt:lpwstr>
      </vt:variant>
      <vt:variant>
        <vt:i4>1048637</vt:i4>
      </vt:variant>
      <vt:variant>
        <vt:i4>74</vt:i4>
      </vt:variant>
      <vt:variant>
        <vt:i4>0</vt:i4>
      </vt:variant>
      <vt:variant>
        <vt:i4>5</vt:i4>
      </vt:variant>
      <vt:variant>
        <vt:lpwstr/>
      </vt:variant>
      <vt:variant>
        <vt:lpwstr>_Toc373493475</vt:lpwstr>
      </vt:variant>
      <vt:variant>
        <vt:i4>1048637</vt:i4>
      </vt:variant>
      <vt:variant>
        <vt:i4>68</vt:i4>
      </vt:variant>
      <vt:variant>
        <vt:i4>0</vt:i4>
      </vt:variant>
      <vt:variant>
        <vt:i4>5</vt:i4>
      </vt:variant>
      <vt:variant>
        <vt:lpwstr/>
      </vt:variant>
      <vt:variant>
        <vt:lpwstr>_Toc373493474</vt:lpwstr>
      </vt:variant>
      <vt:variant>
        <vt:i4>1048637</vt:i4>
      </vt:variant>
      <vt:variant>
        <vt:i4>62</vt:i4>
      </vt:variant>
      <vt:variant>
        <vt:i4>0</vt:i4>
      </vt:variant>
      <vt:variant>
        <vt:i4>5</vt:i4>
      </vt:variant>
      <vt:variant>
        <vt:lpwstr/>
      </vt:variant>
      <vt:variant>
        <vt:lpwstr>_Toc373493473</vt:lpwstr>
      </vt:variant>
      <vt:variant>
        <vt:i4>1048637</vt:i4>
      </vt:variant>
      <vt:variant>
        <vt:i4>56</vt:i4>
      </vt:variant>
      <vt:variant>
        <vt:i4>0</vt:i4>
      </vt:variant>
      <vt:variant>
        <vt:i4>5</vt:i4>
      </vt:variant>
      <vt:variant>
        <vt:lpwstr/>
      </vt:variant>
      <vt:variant>
        <vt:lpwstr>_Toc373493472</vt:lpwstr>
      </vt:variant>
      <vt:variant>
        <vt:i4>1048637</vt:i4>
      </vt:variant>
      <vt:variant>
        <vt:i4>50</vt:i4>
      </vt:variant>
      <vt:variant>
        <vt:i4>0</vt:i4>
      </vt:variant>
      <vt:variant>
        <vt:i4>5</vt:i4>
      </vt:variant>
      <vt:variant>
        <vt:lpwstr/>
      </vt:variant>
      <vt:variant>
        <vt:lpwstr>_Toc373493471</vt:lpwstr>
      </vt:variant>
      <vt:variant>
        <vt:i4>1048637</vt:i4>
      </vt:variant>
      <vt:variant>
        <vt:i4>44</vt:i4>
      </vt:variant>
      <vt:variant>
        <vt:i4>0</vt:i4>
      </vt:variant>
      <vt:variant>
        <vt:i4>5</vt:i4>
      </vt:variant>
      <vt:variant>
        <vt:lpwstr/>
      </vt:variant>
      <vt:variant>
        <vt:lpwstr>_Toc373493470</vt:lpwstr>
      </vt:variant>
      <vt:variant>
        <vt:i4>1114173</vt:i4>
      </vt:variant>
      <vt:variant>
        <vt:i4>38</vt:i4>
      </vt:variant>
      <vt:variant>
        <vt:i4>0</vt:i4>
      </vt:variant>
      <vt:variant>
        <vt:i4>5</vt:i4>
      </vt:variant>
      <vt:variant>
        <vt:lpwstr/>
      </vt:variant>
      <vt:variant>
        <vt:lpwstr>_Toc373493469</vt:lpwstr>
      </vt:variant>
      <vt:variant>
        <vt:i4>1114173</vt:i4>
      </vt:variant>
      <vt:variant>
        <vt:i4>32</vt:i4>
      </vt:variant>
      <vt:variant>
        <vt:i4>0</vt:i4>
      </vt:variant>
      <vt:variant>
        <vt:i4>5</vt:i4>
      </vt:variant>
      <vt:variant>
        <vt:lpwstr/>
      </vt:variant>
      <vt:variant>
        <vt:lpwstr>_Toc373493468</vt:lpwstr>
      </vt:variant>
      <vt:variant>
        <vt:i4>1114173</vt:i4>
      </vt:variant>
      <vt:variant>
        <vt:i4>26</vt:i4>
      </vt:variant>
      <vt:variant>
        <vt:i4>0</vt:i4>
      </vt:variant>
      <vt:variant>
        <vt:i4>5</vt:i4>
      </vt:variant>
      <vt:variant>
        <vt:lpwstr/>
      </vt:variant>
      <vt:variant>
        <vt:lpwstr>_Toc373493467</vt:lpwstr>
      </vt:variant>
      <vt:variant>
        <vt:i4>1114173</vt:i4>
      </vt:variant>
      <vt:variant>
        <vt:i4>20</vt:i4>
      </vt:variant>
      <vt:variant>
        <vt:i4>0</vt:i4>
      </vt:variant>
      <vt:variant>
        <vt:i4>5</vt:i4>
      </vt:variant>
      <vt:variant>
        <vt:lpwstr/>
      </vt:variant>
      <vt:variant>
        <vt:lpwstr>_Toc373493466</vt:lpwstr>
      </vt:variant>
      <vt:variant>
        <vt:i4>1114173</vt:i4>
      </vt:variant>
      <vt:variant>
        <vt:i4>14</vt:i4>
      </vt:variant>
      <vt:variant>
        <vt:i4>0</vt:i4>
      </vt:variant>
      <vt:variant>
        <vt:i4>5</vt:i4>
      </vt:variant>
      <vt:variant>
        <vt:lpwstr/>
      </vt:variant>
      <vt:variant>
        <vt:lpwstr>_Toc373493465</vt:lpwstr>
      </vt:variant>
      <vt:variant>
        <vt:i4>1114173</vt:i4>
      </vt:variant>
      <vt:variant>
        <vt:i4>8</vt:i4>
      </vt:variant>
      <vt:variant>
        <vt:i4>0</vt:i4>
      </vt:variant>
      <vt:variant>
        <vt:i4>5</vt:i4>
      </vt:variant>
      <vt:variant>
        <vt:lpwstr/>
      </vt:variant>
      <vt:variant>
        <vt:lpwstr>_Toc373493464</vt:lpwstr>
      </vt:variant>
      <vt:variant>
        <vt:i4>3276848</vt:i4>
      </vt:variant>
      <vt:variant>
        <vt:i4>3</vt:i4>
      </vt:variant>
      <vt:variant>
        <vt:i4>0</vt:i4>
      </vt:variant>
      <vt:variant>
        <vt:i4>5</vt:i4>
      </vt:variant>
      <vt:variant>
        <vt:lpwstr>http://www.arc4.co.uk/</vt:lpwstr>
      </vt:variant>
      <vt:variant>
        <vt:lpwstr/>
      </vt:variant>
      <vt:variant>
        <vt:i4>6094897</vt:i4>
      </vt:variant>
      <vt:variant>
        <vt:i4>0</vt:i4>
      </vt:variant>
      <vt:variant>
        <vt:i4>0</vt:i4>
      </vt:variant>
      <vt:variant>
        <vt:i4>5</vt:i4>
      </vt:variant>
      <vt:variant>
        <vt:lpwstr>mailto:michael.bullock@arc4.co.uk</vt:lpwstr>
      </vt:variant>
      <vt:variant>
        <vt:lpwstr/>
      </vt:variant>
      <vt:variant>
        <vt:i4>2228262</vt:i4>
      </vt:variant>
      <vt:variant>
        <vt:i4>18</vt:i4>
      </vt:variant>
      <vt:variant>
        <vt:i4>0</vt:i4>
      </vt:variant>
      <vt:variant>
        <vt:i4>5</vt:i4>
      </vt:variant>
      <vt:variant>
        <vt:lpwstr>https://www.gov.uk/government/speeches/planning-and-travellers</vt:lpwstr>
      </vt:variant>
      <vt:variant>
        <vt:lpwstr/>
      </vt:variant>
      <vt:variant>
        <vt:i4>327710</vt:i4>
      </vt:variant>
      <vt:variant>
        <vt:i4>15</vt:i4>
      </vt:variant>
      <vt:variant>
        <vt:i4>0</vt:i4>
      </vt:variant>
      <vt:variant>
        <vt:i4>5</vt:i4>
      </vt:variant>
      <vt:variant>
        <vt:lpwstr>http://www.communities.gov.uk/news/corporate/2124322</vt:lpwstr>
      </vt:variant>
      <vt:variant>
        <vt:lpwstr/>
      </vt:variant>
      <vt:variant>
        <vt:i4>2359391</vt:i4>
      </vt:variant>
      <vt:variant>
        <vt:i4>12</vt:i4>
      </vt:variant>
      <vt:variant>
        <vt:i4>0</vt:i4>
      </vt:variant>
      <vt:variant>
        <vt:i4>5</vt:i4>
      </vt:variant>
      <vt:variant>
        <vt:lpwstr>http://data.gov.uk/dataset/gypsy_and_traveller_caravans</vt:lpwstr>
      </vt:variant>
      <vt:variant>
        <vt:lpwstr/>
      </vt:variant>
      <vt:variant>
        <vt:i4>2228262</vt:i4>
      </vt:variant>
      <vt:variant>
        <vt:i4>9</vt:i4>
      </vt:variant>
      <vt:variant>
        <vt:i4>0</vt:i4>
      </vt:variant>
      <vt:variant>
        <vt:i4>5</vt:i4>
      </vt:variant>
      <vt:variant>
        <vt:lpwstr>https://www.gov.uk/government/speeches/planning-and-travellers</vt:lpwstr>
      </vt:variant>
      <vt:variant>
        <vt:lpwstr/>
      </vt:variant>
      <vt:variant>
        <vt:i4>2621541</vt:i4>
      </vt:variant>
      <vt:variant>
        <vt:i4>6</vt:i4>
      </vt:variant>
      <vt:variant>
        <vt:i4>0</vt:i4>
      </vt:variant>
      <vt:variant>
        <vt:i4>5</vt:i4>
      </vt:variant>
      <vt:variant>
        <vt:lpwstr>http://www.cih.org/</vt:lpwstr>
      </vt:variant>
      <vt:variant>
        <vt:lpwstr/>
      </vt:variant>
      <vt:variant>
        <vt:i4>327710</vt:i4>
      </vt:variant>
      <vt:variant>
        <vt:i4>3</vt:i4>
      </vt:variant>
      <vt:variant>
        <vt:i4>0</vt:i4>
      </vt:variant>
      <vt:variant>
        <vt:i4>5</vt:i4>
      </vt:variant>
      <vt:variant>
        <vt:lpwstr>http://www.communities.gov.uk/news/corporate/2124322</vt:lpwstr>
      </vt:variant>
      <vt:variant>
        <vt:lpwstr/>
      </vt:variant>
      <vt:variant>
        <vt:i4>327682</vt:i4>
      </vt:variant>
      <vt:variant>
        <vt:i4>0</vt:i4>
      </vt:variant>
      <vt:variant>
        <vt:i4>0</vt:i4>
      </vt:variant>
      <vt:variant>
        <vt:i4>5</vt:i4>
      </vt:variant>
      <vt:variant>
        <vt:lpwstr>http://www.pas.gov.uk/pas/core/page.do?pageId=2133454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Brand</dc:creator>
  <cp:keywords/>
  <dc:description/>
  <cp:lastModifiedBy>Cheryl Willett</cp:lastModifiedBy>
  <cp:revision>2</cp:revision>
  <cp:lastPrinted>2018-06-08T12:55:00Z</cp:lastPrinted>
  <dcterms:created xsi:type="dcterms:W3CDTF">2020-09-24T13:34:00Z</dcterms:created>
  <dcterms:modified xsi:type="dcterms:W3CDTF">2020-09-24T13:34:00Z</dcterms:modified>
</cp:coreProperties>
</file>